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C7" w:rsidRPr="0034674A" w:rsidRDefault="001E7BFF" w:rsidP="008C7319">
      <w:pPr>
        <w:ind w:right="-74"/>
        <w:jc w:val="right"/>
        <w:rPr>
          <w:b/>
          <w:szCs w:val="24"/>
        </w:rPr>
      </w:pPr>
      <w:r w:rsidRPr="0034674A">
        <w:rPr>
          <w:b/>
          <w:szCs w:val="24"/>
        </w:rPr>
        <w:t>Appendix A</w:t>
      </w:r>
    </w:p>
    <w:p w:rsidR="00010062" w:rsidRDefault="00010062"/>
    <w:p w:rsidR="00E362C7" w:rsidRPr="00BF2D6D" w:rsidRDefault="00C21314" w:rsidP="00BF2D6D">
      <w:pPr>
        <w:pBdr>
          <w:bottom w:val="single" w:sz="4" w:space="1" w:color="auto"/>
        </w:pBdr>
        <w:jc w:val="both"/>
        <w:rPr>
          <w:b/>
          <w:szCs w:val="24"/>
        </w:rPr>
      </w:pPr>
      <w:r w:rsidRPr="00BF2D6D">
        <w:rPr>
          <w:b/>
          <w:szCs w:val="24"/>
        </w:rPr>
        <w:t xml:space="preserve">Review of Treasury </w:t>
      </w:r>
      <w:r w:rsidR="000A72B6" w:rsidRPr="00BF2D6D">
        <w:rPr>
          <w:b/>
          <w:szCs w:val="24"/>
        </w:rPr>
        <w:t>Management 201</w:t>
      </w:r>
      <w:r w:rsidR="008E6B65" w:rsidRPr="00BF2D6D">
        <w:rPr>
          <w:b/>
          <w:szCs w:val="24"/>
        </w:rPr>
        <w:t>4/15</w:t>
      </w:r>
    </w:p>
    <w:p w:rsidR="00E362C7" w:rsidRPr="00BF2D6D" w:rsidRDefault="00E362C7" w:rsidP="00BF2D6D">
      <w:pPr>
        <w:jc w:val="both"/>
        <w:rPr>
          <w:szCs w:val="24"/>
        </w:rPr>
      </w:pPr>
    </w:p>
    <w:p w:rsidR="000250BE" w:rsidRPr="00BF2D6D" w:rsidRDefault="003133CB" w:rsidP="00BF2D6D">
      <w:pPr>
        <w:jc w:val="both"/>
        <w:rPr>
          <w:b/>
          <w:szCs w:val="24"/>
        </w:rPr>
      </w:pPr>
      <w:r>
        <w:rPr>
          <w:b/>
          <w:szCs w:val="24"/>
        </w:rPr>
        <w:t xml:space="preserve">1. </w:t>
      </w:r>
      <w:r w:rsidR="000250BE" w:rsidRPr="00BF2D6D">
        <w:rPr>
          <w:b/>
          <w:szCs w:val="24"/>
        </w:rPr>
        <w:t>Introduction</w:t>
      </w:r>
    </w:p>
    <w:p w:rsidR="000250BE" w:rsidRPr="00BF2D6D" w:rsidRDefault="000250BE" w:rsidP="00BF2D6D">
      <w:pPr>
        <w:jc w:val="both"/>
        <w:rPr>
          <w:szCs w:val="24"/>
        </w:rPr>
      </w:pPr>
    </w:p>
    <w:p w:rsidR="003133CB" w:rsidRDefault="00A177C3" w:rsidP="00BF2D6D">
      <w:pPr>
        <w:jc w:val="both"/>
        <w:rPr>
          <w:szCs w:val="24"/>
        </w:rPr>
      </w:pPr>
      <w:r w:rsidRPr="00BF2D6D">
        <w:rPr>
          <w:szCs w:val="24"/>
        </w:rPr>
        <w:t xml:space="preserve">The </w:t>
      </w:r>
      <w:r w:rsidR="000F1A22" w:rsidRPr="00BF2D6D">
        <w:rPr>
          <w:szCs w:val="24"/>
        </w:rPr>
        <w:t>County Council</w:t>
      </w:r>
      <w:r w:rsidRPr="00BF2D6D">
        <w:rPr>
          <w:szCs w:val="24"/>
        </w:rPr>
        <w:t xml:space="preserve">’s treasury management activity is </w:t>
      </w:r>
      <w:r w:rsidR="003133CB">
        <w:rPr>
          <w:szCs w:val="24"/>
        </w:rPr>
        <w:t>undertaken in accordance with</w:t>
      </w:r>
      <w:r w:rsidRPr="00BF2D6D">
        <w:rPr>
          <w:szCs w:val="24"/>
        </w:rPr>
        <w:t xml:space="preserve"> CIPFA’s Code of Practice on T</w:t>
      </w:r>
      <w:r w:rsidR="003133CB">
        <w:rPr>
          <w:szCs w:val="24"/>
        </w:rPr>
        <w:t>reasury Management (“the Code”).</w:t>
      </w:r>
      <w:r w:rsidRPr="00BF2D6D">
        <w:rPr>
          <w:szCs w:val="24"/>
        </w:rPr>
        <w:t xml:space="preserve"> </w:t>
      </w:r>
      <w:r w:rsidR="003133CB">
        <w:rPr>
          <w:szCs w:val="24"/>
        </w:rPr>
        <w:t xml:space="preserve">This </w:t>
      </w:r>
      <w:r w:rsidRPr="00BF2D6D">
        <w:rPr>
          <w:szCs w:val="24"/>
        </w:rPr>
        <w:t>recommends that members are informed of treasury management activities at least twice a year</w:t>
      </w:r>
      <w:r w:rsidR="00675B11">
        <w:rPr>
          <w:szCs w:val="24"/>
        </w:rPr>
        <w:t>. T</w:t>
      </w:r>
      <w:r w:rsidR="003133CB">
        <w:rPr>
          <w:szCs w:val="24"/>
        </w:rPr>
        <w:t>his report provides a summary of the activities undertaken in 2014/15</w:t>
      </w:r>
      <w:r w:rsidRPr="00BF2D6D">
        <w:rPr>
          <w:szCs w:val="24"/>
        </w:rPr>
        <w:t>.</w:t>
      </w:r>
    </w:p>
    <w:p w:rsidR="003133CB" w:rsidRDefault="003133CB" w:rsidP="00BF2D6D">
      <w:pPr>
        <w:jc w:val="both"/>
        <w:rPr>
          <w:szCs w:val="24"/>
        </w:rPr>
      </w:pPr>
    </w:p>
    <w:p w:rsidR="003133CB" w:rsidRPr="003133CB" w:rsidRDefault="003133CB" w:rsidP="00BF2D6D">
      <w:pPr>
        <w:jc w:val="both"/>
        <w:rPr>
          <w:b/>
          <w:szCs w:val="24"/>
        </w:rPr>
      </w:pPr>
      <w:r w:rsidRPr="003133CB">
        <w:rPr>
          <w:b/>
          <w:szCs w:val="24"/>
        </w:rPr>
        <w:t>2. Executive Summary</w:t>
      </w:r>
    </w:p>
    <w:p w:rsidR="003133CB" w:rsidRDefault="003133CB" w:rsidP="00BF2D6D">
      <w:pPr>
        <w:jc w:val="both"/>
        <w:rPr>
          <w:szCs w:val="24"/>
        </w:rPr>
      </w:pPr>
    </w:p>
    <w:p w:rsidR="003133CB" w:rsidRPr="00675B11" w:rsidRDefault="003133CB" w:rsidP="00675B11">
      <w:pPr>
        <w:pStyle w:val="ListParagraph"/>
        <w:numPr>
          <w:ilvl w:val="0"/>
          <w:numId w:val="29"/>
        </w:numPr>
        <w:autoSpaceDE w:val="0"/>
        <w:autoSpaceDN w:val="0"/>
        <w:adjustRightInd w:val="0"/>
        <w:jc w:val="both"/>
        <w:rPr>
          <w:rFonts w:cs="Arial"/>
          <w:szCs w:val="24"/>
        </w:rPr>
      </w:pPr>
      <w:r w:rsidRPr="00675B11">
        <w:rPr>
          <w:rFonts w:cs="Arial"/>
          <w:szCs w:val="24"/>
        </w:rPr>
        <w:t>During 2014/15 the council re-financed £573m of short term borrowing as part of the treasury strategy to take advantage of very low interest rates.</w:t>
      </w:r>
    </w:p>
    <w:p w:rsidR="003133CB" w:rsidRPr="00192BD9" w:rsidRDefault="003133CB" w:rsidP="003133CB">
      <w:pPr>
        <w:autoSpaceDE w:val="0"/>
        <w:autoSpaceDN w:val="0"/>
        <w:adjustRightInd w:val="0"/>
        <w:jc w:val="both"/>
        <w:rPr>
          <w:rFonts w:cs="Arial"/>
          <w:szCs w:val="24"/>
        </w:rPr>
      </w:pPr>
    </w:p>
    <w:p w:rsidR="003133CB" w:rsidRPr="00675B11" w:rsidRDefault="003133CB" w:rsidP="00675B11">
      <w:pPr>
        <w:pStyle w:val="ListParagraph"/>
        <w:numPr>
          <w:ilvl w:val="0"/>
          <w:numId w:val="29"/>
        </w:numPr>
        <w:autoSpaceDE w:val="0"/>
        <w:autoSpaceDN w:val="0"/>
        <w:adjustRightInd w:val="0"/>
        <w:jc w:val="both"/>
        <w:rPr>
          <w:rFonts w:cs="Arial"/>
          <w:color w:val="000000"/>
          <w:szCs w:val="24"/>
        </w:rPr>
      </w:pPr>
      <w:r w:rsidRPr="00675B11">
        <w:rPr>
          <w:rFonts w:cs="Arial"/>
          <w:color w:val="000000"/>
          <w:szCs w:val="24"/>
        </w:rPr>
        <w:t>Total borro</w:t>
      </w:r>
      <w:r w:rsidR="00FB6F0F">
        <w:rPr>
          <w:rFonts w:cs="Arial"/>
          <w:color w:val="000000"/>
          <w:szCs w:val="24"/>
        </w:rPr>
        <w:t>wing at 31 March 2015 was £1.036</w:t>
      </w:r>
      <w:r w:rsidRPr="00675B11">
        <w:rPr>
          <w:rFonts w:cs="Arial"/>
          <w:color w:val="000000"/>
          <w:szCs w:val="24"/>
        </w:rPr>
        <w:t>bn, an increase of £220m from the previous year. This was entirely due to the refinancing of the former Waste PFI</w:t>
      </w:r>
      <w:r w:rsidR="00675B11" w:rsidRPr="00675B11">
        <w:rPr>
          <w:rFonts w:cs="Arial"/>
          <w:color w:val="000000"/>
          <w:szCs w:val="24"/>
        </w:rPr>
        <w:t xml:space="preserve"> contract</w:t>
      </w:r>
      <w:r w:rsidRPr="00675B11">
        <w:rPr>
          <w:rFonts w:cs="Arial"/>
          <w:color w:val="000000"/>
          <w:szCs w:val="24"/>
        </w:rPr>
        <w:t>.</w:t>
      </w:r>
    </w:p>
    <w:p w:rsidR="003133CB" w:rsidRPr="00192BD9" w:rsidRDefault="003133CB" w:rsidP="003133CB">
      <w:pPr>
        <w:autoSpaceDE w:val="0"/>
        <w:autoSpaceDN w:val="0"/>
        <w:adjustRightInd w:val="0"/>
        <w:jc w:val="both"/>
        <w:rPr>
          <w:rFonts w:cs="Arial"/>
          <w:color w:val="000000"/>
          <w:szCs w:val="24"/>
        </w:rPr>
      </w:pPr>
    </w:p>
    <w:p w:rsidR="003133CB" w:rsidRDefault="003133CB" w:rsidP="00BC44F6">
      <w:pPr>
        <w:pStyle w:val="ListParagraph"/>
        <w:numPr>
          <w:ilvl w:val="0"/>
          <w:numId w:val="29"/>
        </w:numPr>
        <w:autoSpaceDE w:val="0"/>
        <w:autoSpaceDN w:val="0"/>
        <w:adjustRightInd w:val="0"/>
        <w:jc w:val="both"/>
        <w:rPr>
          <w:rFonts w:cs="Arial"/>
          <w:szCs w:val="24"/>
        </w:rPr>
      </w:pPr>
      <w:r w:rsidRPr="005B65A9">
        <w:rPr>
          <w:rFonts w:cs="Arial"/>
          <w:szCs w:val="24"/>
        </w:rPr>
        <w:t>Overall the average interest rate paid on borrowing was 2.0</w:t>
      </w:r>
      <w:r w:rsidR="00824036">
        <w:rPr>
          <w:rFonts w:cs="Arial"/>
          <w:szCs w:val="24"/>
        </w:rPr>
        <w:t>5</w:t>
      </w:r>
      <w:r w:rsidRPr="005B65A9">
        <w:rPr>
          <w:rFonts w:cs="Arial"/>
          <w:szCs w:val="24"/>
        </w:rPr>
        <w:t>% per annum</w:t>
      </w:r>
      <w:r w:rsidR="005B65A9">
        <w:rPr>
          <w:rFonts w:cs="Arial"/>
          <w:szCs w:val="24"/>
        </w:rPr>
        <w:t>.</w:t>
      </w:r>
    </w:p>
    <w:p w:rsidR="005B65A9" w:rsidRPr="005B65A9" w:rsidRDefault="005B65A9" w:rsidP="005B65A9">
      <w:pPr>
        <w:autoSpaceDE w:val="0"/>
        <w:autoSpaceDN w:val="0"/>
        <w:adjustRightInd w:val="0"/>
        <w:jc w:val="both"/>
        <w:rPr>
          <w:rFonts w:cs="Arial"/>
          <w:szCs w:val="24"/>
        </w:rPr>
      </w:pPr>
    </w:p>
    <w:p w:rsidR="003133CB" w:rsidRDefault="003133CB" w:rsidP="004A586C">
      <w:pPr>
        <w:pStyle w:val="ListParagraph"/>
        <w:numPr>
          <w:ilvl w:val="0"/>
          <w:numId w:val="29"/>
        </w:numPr>
        <w:autoSpaceDE w:val="0"/>
        <w:autoSpaceDN w:val="0"/>
        <w:adjustRightInd w:val="0"/>
        <w:jc w:val="both"/>
        <w:rPr>
          <w:rFonts w:cs="Arial"/>
          <w:color w:val="000000"/>
          <w:szCs w:val="24"/>
        </w:rPr>
      </w:pPr>
      <w:r w:rsidRPr="00350F5C">
        <w:rPr>
          <w:rFonts w:cs="Arial"/>
          <w:color w:val="000000"/>
          <w:szCs w:val="24"/>
        </w:rPr>
        <w:t>The total return on the investment portfolios for the 2014/15 financial year was 9.32% on an average i</w:t>
      </w:r>
      <w:r w:rsidR="00350F5C">
        <w:rPr>
          <w:rFonts w:cs="Arial"/>
          <w:color w:val="000000"/>
          <w:szCs w:val="24"/>
        </w:rPr>
        <w:t>nvestment balance of £864.961m.</w:t>
      </w:r>
    </w:p>
    <w:p w:rsidR="00350F5C" w:rsidRPr="00350F5C" w:rsidRDefault="00350F5C" w:rsidP="00350F5C">
      <w:pPr>
        <w:pStyle w:val="ListParagraph"/>
        <w:rPr>
          <w:rFonts w:cs="Arial"/>
          <w:color w:val="000000"/>
          <w:szCs w:val="24"/>
        </w:rPr>
      </w:pPr>
    </w:p>
    <w:p w:rsidR="00350F5C" w:rsidRDefault="00350F5C" w:rsidP="004A586C">
      <w:pPr>
        <w:pStyle w:val="ListParagraph"/>
        <w:numPr>
          <w:ilvl w:val="0"/>
          <w:numId w:val="29"/>
        </w:numPr>
        <w:autoSpaceDE w:val="0"/>
        <w:autoSpaceDN w:val="0"/>
        <w:adjustRightInd w:val="0"/>
        <w:jc w:val="both"/>
        <w:rPr>
          <w:rFonts w:cs="Arial"/>
          <w:color w:val="000000"/>
          <w:szCs w:val="24"/>
        </w:rPr>
      </w:pPr>
      <w:r>
        <w:rPr>
          <w:rFonts w:cs="Arial"/>
          <w:color w:val="000000"/>
          <w:szCs w:val="24"/>
        </w:rPr>
        <w:t>In total, the capital financing charges showed a surplus in-year of £69m.</w:t>
      </w:r>
    </w:p>
    <w:p w:rsidR="00350F5C" w:rsidRPr="00350F5C" w:rsidRDefault="00350F5C" w:rsidP="00350F5C">
      <w:pPr>
        <w:autoSpaceDE w:val="0"/>
        <w:autoSpaceDN w:val="0"/>
        <w:adjustRightInd w:val="0"/>
        <w:jc w:val="both"/>
        <w:rPr>
          <w:rFonts w:cs="Arial"/>
          <w:color w:val="000000"/>
          <w:szCs w:val="24"/>
        </w:rPr>
      </w:pPr>
    </w:p>
    <w:p w:rsidR="003133CB" w:rsidRPr="00675B11" w:rsidRDefault="003133CB" w:rsidP="00675B11">
      <w:pPr>
        <w:pStyle w:val="ListParagraph"/>
        <w:numPr>
          <w:ilvl w:val="0"/>
          <w:numId w:val="29"/>
        </w:numPr>
        <w:autoSpaceDE w:val="0"/>
        <w:autoSpaceDN w:val="0"/>
        <w:adjustRightInd w:val="0"/>
        <w:jc w:val="both"/>
        <w:rPr>
          <w:rFonts w:cs="Arial"/>
          <w:szCs w:val="24"/>
        </w:rPr>
      </w:pPr>
      <w:r w:rsidRPr="00675B11">
        <w:rPr>
          <w:rFonts w:cs="Arial"/>
          <w:szCs w:val="24"/>
        </w:rPr>
        <w:t>Credit risk is controlled through only dealing with very high quality investment counterparties. The average credit rating throughout the year has been AA, well above the target A+ rating.</w:t>
      </w:r>
    </w:p>
    <w:p w:rsidR="003133CB" w:rsidRPr="00192BD9" w:rsidRDefault="003133CB" w:rsidP="003133CB">
      <w:pPr>
        <w:autoSpaceDE w:val="0"/>
        <w:autoSpaceDN w:val="0"/>
        <w:adjustRightInd w:val="0"/>
        <w:jc w:val="both"/>
        <w:rPr>
          <w:rFonts w:cs="Arial"/>
          <w:szCs w:val="24"/>
        </w:rPr>
      </w:pPr>
    </w:p>
    <w:p w:rsidR="003133CB" w:rsidRPr="00675B11" w:rsidRDefault="003133CB" w:rsidP="00675B11">
      <w:pPr>
        <w:pStyle w:val="ListParagraph"/>
        <w:numPr>
          <w:ilvl w:val="0"/>
          <w:numId w:val="29"/>
        </w:numPr>
        <w:autoSpaceDE w:val="0"/>
        <w:autoSpaceDN w:val="0"/>
        <w:adjustRightInd w:val="0"/>
        <w:jc w:val="both"/>
        <w:rPr>
          <w:rFonts w:cs="Arial"/>
          <w:szCs w:val="24"/>
        </w:rPr>
      </w:pPr>
      <w:r w:rsidRPr="00675B11">
        <w:rPr>
          <w:rFonts w:cs="Arial"/>
          <w:szCs w:val="24"/>
        </w:rPr>
        <w:t xml:space="preserve">Liquidity is a priority for the council to ensure day to day obligations can be met. The council held £107m as cash and cash equivalents on 31 March 2015 along with a further £361m in bonds which are available for sale at current market prices should </w:t>
      </w:r>
      <w:r w:rsidR="00675B11" w:rsidRPr="00675B11">
        <w:rPr>
          <w:rFonts w:cs="Arial"/>
          <w:szCs w:val="24"/>
        </w:rPr>
        <w:t>further</w:t>
      </w:r>
      <w:r w:rsidRPr="00675B11">
        <w:rPr>
          <w:rFonts w:cs="Arial"/>
          <w:szCs w:val="24"/>
        </w:rPr>
        <w:t xml:space="preserve"> liquidity be required. </w:t>
      </w:r>
    </w:p>
    <w:p w:rsidR="003133CB" w:rsidRPr="00192BD9" w:rsidRDefault="003133CB" w:rsidP="003133CB">
      <w:pPr>
        <w:autoSpaceDE w:val="0"/>
        <w:autoSpaceDN w:val="0"/>
        <w:adjustRightInd w:val="0"/>
        <w:jc w:val="both"/>
        <w:rPr>
          <w:rFonts w:cs="Arial"/>
          <w:szCs w:val="24"/>
        </w:rPr>
      </w:pPr>
    </w:p>
    <w:p w:rsidR="003133CB" w:rsidRDefault="00F053D5" w:rsidP="00675B11">
      <w:pPr>
        <w:pStyle w:val="ListParagraph"/>
        <w:numPr>
          <w:ilvl w:val="0"/>
          <w:numId w:val="29"/>
        </w:numPr>
        <w:autoSpaceDE w:val="0"/>
        <w:autoSpaceDN w:val="0"/>
        <w:adjustRightInd w:val="0"/>
        <w:jc w:val="both"/>
        <w:rPr>
          <w:rFonts w:cs="Arial"/>
          <w:szCs w:val="24"/>
        </w:rPr>
      </w:pPr>
      <w:r>
        <w:rPr>
          <w:rFonts w:cs="Arial"/>
          <w:szCs w:val="24"/>
        </w:rPr>
        <w:t>All Treasury Management activities in year comply with the CIPFA Code of Practice</w:t>
      </w:r>
      <w:r w:rsidRPr="00675B11">
        <w:rPr>
          <w:rFonts w:cs="Arial"/>
          <w:szCs w:val="24"/>
        </w:rPr>
        <w:t xml:space="preserve"> </w:t>
      </w:r>
      <w:r>
        <w:rPr>
          <w:rFonts w:cs="Arial"/>
          <w:szCs w:val="24"/>
        </w:rPr>
        <w:t>and n</w:t>
      </w:r>
      <w:r w:rsidR="00675B11" w:rsidRPr="00675B11">
        <w:rPr>
          <w:rFonts w:cs="Arial"/>
          <w:szCs w:val="24"/>
        </w:rPr>
        <w:t>one of the Prudential Indicators have been breached during the financial year 2014/15.</w:t>
      </w:r>
    </w:p>
    <w:p w:rsidR="00675B11" w:rsidRPr="00675B11" w:rsidRDefault="00675B11" w:rsidP="00675B11">
      <w:pPr>
        <w:pStyle w:val="ListParagraph"/>
        <w:rPr>
          <w:rFonts w:cs="Arial"/>
          <w:szCs w:val="24"/>
        </w:rPr>
      </w:pPr>
    </w:p>
    <w:p w:rsidR="00856711" w:rsidRDefault="00856711">
      <w:pPr>
        <w:rPr>
          <w:b/>
          <w:szCs w:val="24"/>
        </w:rPr>
      </w:pPr>
      <w:r>
        <w:rPr>
          <w:b/>
          <w:szCs w:val="24"/>
        </w:rPr>
        <w:br w:type="page"/>
      </w:r>
    </w:p>
    <w:p w:rsidR="00E362C7" w:rsidRPr="00BF2D6D" w:rsidRDefault="003133CB" w:rsidP="003133CB">
      <w:pPr>
        <w:jc w:val="both"/>
        <w:rPr>
          <w:b/>
          <w:szCs w:val="24"/>
        </w:rPr>
      </w:pPr>
      <w:r>
        <w:rPr>
          <w:b/>
          <w:szCs w:val="24"/>
        </w:rPr>
        <w:lastRenderedPageBreak/>
        <w:t xml:space="preserve">3. </w:t>
      </w:r>
      <w:r w:rsidR="00E362C7" w:rsidRPr="00BF2D6D">
        <w:rPr>
          <w:b/>
          <w:szCs w:val="24"/>
        </w:rPr>
        <w:t>Econom</w:t>
      </w:r>
      <w:r w:rsidR="00735017" w:rsidRPr="00BF2D6D">
        <w:rPr>
          <w:b/>
          <w:szCs w:val="24"/>
        </w:rPr>
        <w:t>ic Summary</w:t>
      </w:r>
      <w:r w:rsidR="00E362C7" w:rsidRPr="00BF2D6D">
        <w:rPr>
          <w:b/>
          <w:szCs w:val="24"/>
        </w:rPr>
        <w:t xml:space="preserve"> 201</w:t>
      </w:r>
      <w:r w:rsidR="008E6B65" w:rsidRPr="00BF2D6D">
        <w:rPr>
          <w:b/>
          <w:szCs w:val="24"/>
        </w:rPr>
        <w:t>4/15</w:t>
      </w:r>
    </w:p>
    <w:p w:rsidR="00E07610" w:rsidRPr="00BF2D6D" w:rsidRDefault="00E07610" w:rsidP="00BF2D6D">
      <w:pPr>
        <w:jc w:val="both"/>
        <w:rPr>
          <w:b/>
          <w:szCs w:val="24"/>
        </w:rPr>
      </w:pPr>
    </w:p>
    <w:p w:rsidR="00E07610" w:rsidRPr="00BF2D6D" w:rsidRDefault="00675B11" w:rsidP="00BF2D6D">
      <w:pPr>
        <w:keepNext/>
        <w:widowControl w:val="0"/>
        <w:tabs>
          <w:tab w:val="left" w:pos="720"/>
        </w:tabs>
        <w:suppressAutoHyphens/>
        <w:spacing w:after="170"/>
        <w:jc w:val="both"/>
        <w:outlineLvl w:val="0"/>
        <w:rPr>
          <w:szCs w:val="24"/>
        </w:rPr>
      </w:pPr>
      <w:r>
        <w:rPr>
          <w:szCs w:val="24"/>
        </w:rPr>
        <w:t>Gross Domestic Product (</w:t>
      </w:r>
      <w:r w:rsidR="00E07610" w:rsidRPr="00BF2D6D">
        <w:rPr>
          <w:szCs w:val="24"/>
        </w:rPr>
        <w:t>GDP</w:t>
      </w:r>
      <w:r>
        <w:rPr>
          <w:szCs w:val="24"/>
        </w:rPr>
        <w:t>)</w:t>
      </w:r>
      <w:r w:rsidR="00E07610" w:rsidRPr="00BF2D6D">
        <w:rPr>
          <w:szCs w:val="24"/>
        </w:rPr>
        <w:t xml:space="preserve"> growth of 3% in 2014 was indicative of a more posi</w:t>
      </w:r>
      <w:r w:rsidR="00D665FD">
        <w:rPr>
          <w:szCs w:val="24"/>
        </w:rPr>
        <w:t>tive outlook for the UK economy</w:t>
      </w:r>
      <w:r w:rsidR="00E07610" w:rsidRPr="00BF2D6D">
        <w:rPr>
          <w:szCs w:val="24"/>
        </w:rPr>
        <w:t xml:space="preserve"> </w:t>
      </w:r>
      <w:r w:rsidR="00561BFA">
        <w:rPr>
          <w:szCs w:val="24"/>
        </w:rPr>
        <w:t xml:space="preserve">as a result of </w:t>
      </w:r>
      <w:r w:rsidR="00E07610" w:rsidRPr="00BF2D6D">
        <w:rPr>
          <w:szCs w:val="24"/>
        </w:rPr>
        <w:t xml:space="preserve">a buoyant services sector, supplemented by positive contributions from the production and construction sectors. </w:t>
      </w:r>
    </w:p>
    <w:p w:rsidR="00E07610" w:rsidRPr="00BF2D6D" w:rsidRDefault="00E07610" w:rsidP="00BF2D6D">
      <w:pPr>
        <w:keepNext/>
        <w:widowControl w:val="0"/>
        <w:tabs>
          <w:tab w:val="left" w:pos="720"/>
        </w:tabs>
        <w:suppressAutoHyphens/>
        <w:spacing w:after="170"/>
        <w:jc w:val="both"/>
        <w:outlineLvl w:val="0"/>
        <w:rPr>
          <w:szCs w:val="24"/>
        </w:rPr>
      </w:pPr>
      <w:r w:rsidRPr="00BF2D6D">
        <w:rPr>
          <w:szCs w:val="24"/>
        </w:rPr>
        <w:t xml:space="preserve">Annual </w:t>
      </w:r>
      <w:r w:rsidR="00675B11">
        <w:rPr>
          <w:szCs w:val="24"/>
        </w:rPr>
        <w:t>Consumer Price Index (</w:t>
      </w:r>
      <w:r w:rsidRPr="00BF2D6D">
        <w:rPr>
          <w:szCs w:val="24"/>
        </w:rPr>
        <w:t>CPI</w:t>
      </w:r>
      <w:r w:rsidR="00675B11">
        <w:rPr>
          <w:szCs w:val="24"/>
        </w:rPr>
        <w:t>)</w:t>
      </w:r>
      <w:r w:rsidRPr="00BF2D6D">
        <w:rPr>
          <w:szCs w:val="24"/>
        </w:rPr>
        <w:t xml:space="preserve"> inflation fell to zero for the year to March 2015, down from 1.6% a year earlier.  The key driver was the fall in the oil price (which fell to </w:t>
      </w:r>
      <w:r w:rsidR="003133CB">
        <w:rPr>
          <w:szCs w:val="24"/>
        </w:rPr>
        <w:t>its lowest level</w:t>
      </w:r>
      <w:r w:rsidRPr="00BF2D6D">
        <w:rPr>
          <w:szCs w:val="24"/>
        </w:rPr>
        <w:t xml:space="preserve"> since March 2009) and a steep drop</w:t>
      </w:r>
      <w:r w:rsidR="00561BFA">
        <w:rPr>
          <w:szCs w:val="24"/>
        </w:rPr>
        <w:t xml:space="preserve"> in wholesale energy prices;</w:t>
      </w:r>
      <w:r w:rsidRPr="00BF2D6D">
        <w:rPr>
          <w:szCs w:val="24"/>
        </w:rPr>
        <w:t xml:space="preserve"> extra </w:t>
      </w:r>
      <w:r w:rsidR="003133CB">
        <w:rPr>
          <w:szCs w:val="24"/>
        </w:rPr>
        <w:t>momentum came</w:t>
      </w:r>
      <w:r w:rsidRPr="00BF2D6D">
        <w:rPr>
          <w:szCs w:val="24"/>
        </w:rPr>
        <w:t xml:space="preserve"> from supermarket competition resulting in lower food prices. Bank of England Governor Mark Carney wrote an open letter to the Chancellor in February, explaining that the Bank expected CPI to temporarily turn negative but </w:t>
      </w:r>
      <w:r w:rsidR="00561BFA">
        <w:rPr>
          <w:szCs w:val="24"/>
        </w:rPr>
        <w:t>to increase</w:t>
      </w:r>
      <w:r w:rsidRPr="00BF2D6D">
        <w:rPr>
          <w:szCs w:val="24"/>
        </w:rPr>
        <w:t xml:space="preserve"> around the end of 2015 as the lower prices dropped out of the annual rate calculation. The UK labour market also continued to improve with January 2015 showing the rate of unemployment falling to 5.7% from 7.2% a year earlier. </w:t>
      </w:r>
    </w:p>
    <w:p w:rsidR="00E07610" w:rsidRPr="00BF2D6D" w:rsidRDefault="00E07610" w:rsidP="00BF2D6D">
      <w:pPr>
        <w:keepNext/>
        <w:widowControl w:val="0"/>
        <w:tabs>
          <w:tab w:val="left" w:pos="720"/>
        </w:tabs>
        <w:suppressAutoHyphens/>
        <w:spacing w:after="170"/>
        <w:jc w:val="both"/>
        <w:outlineLvl w:val="0"/>
        <w:rPr>
          <w:szCs w:val="24"/>
        </w:rPr>
      </w:pPr>
      <w:r w:rsidRPr="00BF2D6D">
        <w:rPr>
          <w:szCs w:val="24"/>
        </w:rPr>
        <w:t xml:space="preserve">The Bank of England’s </w:t>
      </w:r>
      <w:r w:rsidR="00745674">
        <w:rPr>
          <w:szCs w:val="24"/>
        </w:rPr>
        <w:t>Monetary Policy Committee (</w:t>
      </w:r>
      <w:r w:rsidRPr="00BF2D6D">
        <w:rPr>
          <w:szCs w:val="24"/>
        </w:rPr>
        <w:t>MPC</w:t>
      </w:r>
      <w:r w:rsidR="00745674">
        <w:rPr>
          <w:szCs w:val="24"/>
        </w:rPr>
        <w:t>)</w:t>
      </w:r>
      <w:r w:rsidRPr="00BF2D6D">
        <w:rPr>
          <w:szCs w:val="24"/>
        </w:rPr>
        <w:t xml:space="preserve"> maintained interest rates at 0.5% and asset purchases (</w:t>
      </w:r>
      <w:r w:rsidR="00561BFA" w:rsidRPr="00BF2D6D">
        <w:rPr>
          <w:szCs w:val="24"/>
        </w:rPr>
        <w:t>Q</w:t>
      </w:r>
      <w:r w:rsidR="00561BFA">
        <w:rPr>
          <w:szCs w:val="24"/>
        </w:rPr>
        <w:t xml:space="preserve">uantitative </w:t>
      </w:r>
      <w:r w:rsidRPr="00BF2D6D">
        <w:rPr>
          <w:szCs w:val="24"/>
        </w:rPr>
        <w:t>E</w:t>
      </w:r>
      <w:r w:rsidR="00561BFA">
        <w:rPr>
          <w:szCs w:val="24"/>
        </w:rPr>
        <w:t>asing</w:t>
      </w:r>
      <w:r w:rsidR="00976595">
        <w:rPr>
          <w:szCs w:val="24"/>
        </w:rPr>
        <w:t xml:space="preserve">) at £375bn. </w:t>
      </w:r>
      <w:r w:rsidRPr="00BF2D6D">
        <w:rPr>
          <w:szCs w:val="24"/>
        </w:rPr>
        <w:t xml:space="preserve">The minutes of the MPC meetings reiterated the Committee’s stance that the economic </w:t>
      </w:r>
      <w:r w:rsidR="00561BFA">
        <w:rPr>
          <w:szCs w:val="24"/>
        </w:rPr>
        <w:t>outlook for the UK economy</w:t>
      </w:r>
      <w:r w:rsidRPr="00BF2D6D">
        <w:rPr>
          <w:szCs w:val="24"/>
        </w:rPr>
        <w:t xml:space="preserve"> meant that increases in the Bank Rate would be gradual and l</w:t>
      </w:r>
      <w:r w:rsidR="00561BFA">
        <w:rPr>
          <w:szCs w:val="24"/>
        </w:rPr>
        <w:t>imited.</w:t>
      </w:r>
    </w:p>
    <w:p w:rsidR="00E07610" w:rsidRPr="00BF2D6D" w:rsidRDefault="00E07610" w:rsidP="00BF2D6D">
      <w:pPr>
        <w:keepNext/>
        <w:widowControl w:val="0"/>
        <w:tabs>
          <w:tab w:val="left" w:pos="720"/>
        </w:tabs>
        <w:suppressAutoHyphens/>
        <w:spacing w:after="170"/>
        <w:jc w:val="both"/>
        <w:outlineLvl w:val="0"/>
        <w:rPr>
          <w:szCs w:val="24"/>
        </w:rPr>
      </w:pPr>
      <w:r w:rsidRPr="00BF2D6D">
        <w:rPr>
          <w:szCs w:val="24"/>
        </w:rPr>
        <w:t xml:space="preserve">Political uncertainty had a large bearing on market confidence this year. The possibility of Scottish independence was of concern to the financial markets, however this dissipated following the outcome of September’s referendum. The risk of upheaval (the pledge to devolve extensive new powers to the Scottish parliament and English MPs in turn demanding separate laws for England) lingers on. </w:t>
      </w:r>
      <w:r w:rsidR="00561BFA">
        <w:rPr>
          <w:szCs w:val="24"/>
        </w:rPr>
        <w:t xml:space="preserve">A </w:t>
      </w:r>
      <w:r w:rsidRPr="00BF2D6D">
        <w:rPr>
          <w:szCs w:val="24"/>
        </w:rPr>
        <w:t xml:space="preserve">closely contested general election campaign </w:t>
      </w:r>
      <w:r w:rsidR="00561BFA">
        <w:rPr>
          <w:szCs w:val="24"/>
        </w:rPr>
        <w:t>led to the markets bracing for a</w:t>
      </w:r>
      <w:r w:rsidRPr="00BF2D6D">
        <w:rPr>
          <w:szCs w:val="24"/>
        </w:rPr>
        <w:t xml:space="preserve"> hung parliament.  </w:t>
      </w:r>
    </w:p>
    <w:p w:rsidR="00E07610" w:rsidRPr="00BF2D6D" w:rsidRDefault="00E07610" w:rsidP="00BF2D6D">
      <w:pPr>
        <w:keepNext/>
        <w:widowControl w:val="0"/>
        <w:tabs>
          <w:tab w:val="left" w:pos="720"/>
        </w:tabs>
        <w:suppressAutoHyphens/>
        <w:spacing w:after="170"/>
        <w:jc w:val="both"/>
        <w:outlineLvl w:val="0"/>
        <w:rPr>
          <w:szCs w:val="24"/>
        </w:rPr>
      </w:pPr>
      <w:r w:rsidRPr="00BF2D6D">
        <w:rPr>
          <w:szCs w:val="24"/>
        </w:rPr>
        <w:t>On the continent, the European Central Bank</w:t>
      </w:r>
      <w:r w:rsidR="00561BFA">
        <w:rPr>
          <w:szCs w:val="24"/>
        </w:rPr>
        <w:t xml:space="preserve"> (ECB)</w:t>
      </w:r>
      <w:r w:rsidRPr="00BF2D6D">
        <w:rPr>
          <w:szCs w:val="24"/>
        </w:rPr>
        <w:t xml:space="preserve"> lowered its official benchmark interest rate from 0.15% to 0.05% in September and the rate paid on commercial bank balances held with it was lowered from -0.10% to -0.20%.  The much-anticipated quantitative easing, which will expand the ECB’s balance sheet by €1.1 trillio</w:t>
      </w:r>
      <w:r w:rsidR="00BF2D6D">
        <w:rPr>
          <w:szCs w:val="24"/>
        </w:rPr>
        <w:t>n was finally announced by the Central B</w:t>
      </w:r>
      <w:r w:rsidRPr="00BF2D6D">
        <w:rPr>
          <w:szCs w:val="24"/>
        </w:rPr>
        <w:t xml:space="preserve">ank at its January meeting in an effort to steer the euro area away from deflation and </w:t>
      </w:r>
      <w:r w:rsidR="00561BFA">
        <w:rPr>
          <w:szCs w:val="24"/>
        </w:rPr>
        <w:t>stimulate</w:t>
      </w:r>
      <w:r w:rsidRPr="00BF2D6D">
        <w:rPr>
          <w:szCs w:val="24"/>
        </w:rPr>
        <w:t xml:space="preserve"> economies. This involves buying €60bn of sovereign bonds, asset-backed securities and covered bonds a month commencing March 2015 through to September 2016.  The possibility of a Greek exit from the Eurozone refused to subside given the clear frustrations that remained between its new government and its creditors.</w:t>
      </w:r>
    </w:p>
    <w:p w:rsidR="00E07610" w:rsidRPr="00BF2D6D" w:rsidRDefault="00E07610" w:rsidP="00BF2D6D">
      <w:pPr>
        <w:keepNext/>
        <w:widowControl w:val="0"/>
        <w:tabs>
          <w:tab w:val="left" w:pos="720"/>
        </w:tabs>
        <w:suppressAutoHyphens/>
        <w:spacing w:after="170"/>
        <w:jc w:val="both"/>
        <w:outlineLvl w:val="0"/>
        <w:rPr>
          <w:szCs w:val="24"/>
        </w:rPr>
      </w:pPr>
      <w:r w:rsidRPr="00BF2D6D">
        <w:rPr>
          <w:szCs w:val="24"/>
        </w:rPr>
        <w:t xml:space="preserve">The US economy </w:t>
      </w:r>
      <w:r w:rsidR="00561BFA">
        <w:rPr>
          <w:szCs w:val="24"/>
        </w:rPr>
        <w:t>performed</w:t>
      </w:r>
      <w:r w:rsidRPr="00BF2D6D">
        <w:rPr>
          <w:szCs w:val="24"/>
        </w:rPr>
        <w:t xml:space="preserve"> strongly in 2014, employment growth was robust and there were early signs of wage pressures building, albeit from a low level. The Federal Reserve made no change to US policy rates. The central bank however continued with ‘tapering’, i.e. a reduction in asset purchases by $10 billion per month, and ended them altogether in October 2014.  With the</w:t>
      </w:r>
      <w:r w:rsidR="00561BFA">
        <w:rPr>
          <w:szCs w:val="24"/>
        </w:rPr>
        <w:t xml:space="preserve"> US economy resilient enough to</w:t>
      </w:r>
      <w:r w:rsidRPr="00BF2D6D">
        <w:rPr>
          <w:szCs w:val="24"/>
        </w:rPr>
        <w:t xml:space="preserve"> weather the weakness of key trading partners and a strong US dollar, in March 2015 the Fed removed the word “patient” from its statement accompanying its rates decisions, effectively leaving the door open for a rise in rates later in the year.  </w:t>
      </w:r>
    </w:p>
    <w:p w:rsidR="00E07610" w:rsidRPr="00BF2D6D" w:rsidRDefault="00E07610" w:rsidP="00BF2D6D">
      <w:pPr>
        <w:keepNext/>
        <w:widowControl w:val="0"/>
        <w:tabs>
          <w:tab w:val="left" w:pos="720"/>
        </w:tabs>
        <w:suppressAutoHyphens/>
        <w:spacing w:after="170"/>
        <w:jc w:val="both"/>
        <w:outlineLvl w:val="0"/>
        <w:rPr>
          <w:szCs w:val="24"/>
        </w:rPr>
      </w:pPr>
      <w:r w:rsidRPr="00BF2D6D">
        <w:rPr>
          <w:szCs w:val="24"/>
        </w:rPr>
        <w:t xml:space="preserve">Against this economic backdrop, from July gilt yields were driven lower by geo-political risks emanating from the Middle East and Ukraine, the slide towards deflation within the Eurozone and the big fall in the price of oil and its transmission though into lower prices globally. 5-, 10- and 20-year gilt yields fell to their lows in January (0.88%, </w:t>
      </w:r>
      <w:r w:rsidRPr="00BF2D6D">
        <w:rPr>
          <w:szCs w:val="24"/>
        </w:rPr>
        <w:lastRenderedPageBreak/>
        <w:t>1.33% and 1.86% respectively) before ending the year higher at 1.19%, 1.57% and 2.14% respectively.</w:t>
      </w:r>
    </w:p>
    <w:p w:rsidR="00735017" w:rsidRPr="00561BFA" w:rsidRDefault="00561BFA" w:rsidP="00561BFA">
      <w:pPr>
        <w:jc w:val="both"/>
        <w:rPr>
          <w:b/>
          <w:szCs w:val="24"/>
        </w:rPr>
      </w:pPr>
      <w:r>
        <w:rPr>
          <w:b/>
          <w:szCs w:val="24"/>
        </w:rPr>
        <w:t xml:space="preserve">4. </w:t>
      </w:r>
      <w:r w:rsidR="00CD5CEF" w:rsidRPr="00561BFA">
        <w:rPr>
          <w:b/>
          <w:szCs w:val="24"/>
        </w:rPr>
        <w:t xml:space="preserve">Local Context and the </w:t>
      </w:r>
      <w:r w:rsidR="00E6187B" w:rsidRPr="00561BFA">
        <w:rPr>
          <w:b/>
          <w:szCs w:val="24"/>
        </w:rPr>
        <w:t>Treasury</w:t>
      </w:r>
      <w:r w:rsidR="00735017" w:rsidRPr="00561BFA">
        <w:rPr>
          <w:b/>
          <w:szCs w:val="24"/>
        </w:rPr>
        <w:t xml:space="preserve"> Management Strategy 201</w:t>
      </w:r>
      <w:r w:rsidR="008E6B65" w:rsidRPr="00561BFA">
        <w:rPr>
          <w:b/>
          <w:szCs w:val="24"/>
        </w:rPr>
        <w:t>4/15</w:t>
      </w:r>
    </w:p>
    <w:p w:rsidR="00FD22F8" w:rsidRPr="00BF2D6D" w:rsidRDefault="00FD22F8" w:rsidP="00BF2D6D">
      <w:pPr>
        <w:jc w:val="both"/>
        <w:rPr>
          <w:b/>
          <w:szCs w:val="24"/>
        </w:rPr>
      </w:pPr>
    </w:p>
    <w:p w:rsidR="00FD22F8" w:rsidRPr="00BF2D6D" w:rsidRDefault="00FD22F8" w:rsidP="00BF2D6D">
      <w:pPr>
        <w:jc w:val="both"/>
        <w:rPr>
          <w:szCs w:val="24"/>
        </w:rPr>
      </w:pPr>
      <w:r w:rsidRPr="00BF2D6D">
        <w:rPr>
          <w:szCs w:val="24"/>
        </w:rPr>
        <w:t>The Full Council approved the revised 2014/15 treasury management strategy at its meeting</w:t>
      </w:r>
      <w:r w:rsidRPr="00BF2D6D">
        <w:rPr>
          <w:szCs w:val="24"/>
          <w:lang w:eastAsia="en-US"/>
        </w:rPr>
        <w:t xml:space="preserve"> on 20th February 2014. The Council’s stated investment priorities were:</w:t>
      </w:r>
    </w:p>
    <w:p w:rsidR="00FD22F8" w:rsidRPr="00BF2D6D" w:rsidRDefault="00FD22F8" w:rsidP="00BF2D6D">
      <w:pPr>
        <w:spacing w:before="45" w:after="45"/>
        <w:jc w:val="both"/>
        <w:rPr>
          <w:rFonts w:cs="Arial"/>
          <w:szCs w:val="24"/>
        </w:rPr>
      </w:pPr>
      <w:r w:rsidRPr="00BF2D6D">
        <w:rPr>
          <w:rFonts w:cs="Arial"/>
          <w:szCs w:val="24"/>
        </w:rPr>
        <w:t>(a)</w:t>
      </w:r>
      <w:r w:rsidRPr="00BF2D6D">
        <w:rPr>
          <w:rFonts w:cs="Arial"/>
          <w:szCs w:val="24"/>
        </w:rPr>
        <w:tab/>
        <w:t>Security of capital and</w:t>
      </w:r>
      <w:r w:rsidR="00BF2D6D">
        <w:rPr>
          <w:rFonts w:cs="Arial"/>
          <w:szCs w:val="24"/>
        </w:rPr>
        <w:t>;</w:t>
      </w:r>
      <w:r w:rsidRPr="00BF2D6D">
        <w:rPr>
          <w:rFonts w:cs="Arial"/>
          <w:szCs w:val="24"/>
        </w:rPr>
        <w:t xml:space="preserve"> </w:t>
      </w:r>
    </w:p>
    <w:p w:rsidR="00FD22F8" w:rsidRPr="00BF2D6D" w:rsidRDefault="00FD22F8" w:rsidP="00BF2D6D">
      <w:pPr>
        <w:spacing w:before="45" w:after="45"/>
        <w:jc w:val="both"/>
        <w:rPr>
          <w:rFonts w:cs="Arial"/>
          <w:szCs w:val="24"/>
        </w:rPr>
      </w:pPr>
      <w:r w:rsidRPr="00BF2D6D">
        <w:rPr>
          <w:rFonts w:cs="Arial"/>
          <w:szCs w:val="24"/>
        </w:rPr>
        <w:t>(b)</w:t>
      </w:r>
      <w:r w:rsidRPr="00BF2D6D">
        <w:rPr>
          <w:rFonts w:cs="Arial"/>
          <w:szCs w:val="24"/>
        </w:rPr>
        <w:tab/>
        <w:t xml:space="preserve">Liquidity of its investments. </w:t>
      </w:r>
    </w:p>
    <w:p w:rsidR="00FD22F8" w:rsidRPr="00BF2D6D" w:rsidRDefault="00FD22F8" w:rsidP="00BF2D6D">
      <w:pPr>
        <w:jc w:val="both"/>
        <w:rPr>
          <w:rFonts w:cs="Arial"/>
          <w:szCs w:val="24"/>
        </w:rPr>
      </w:pPr>
    </w:p>
    <w:p w:rsidR="00FD22F8" w:rsidRPr="00BF2D6D" w:rsidRDefault="00FD22F8" w:rsidP="00BF2D6D">
      <w:pPr>
        <w:pStyle w:val="ListParagraph"/>
        <w:autoSpaceDE w:val="0"/>
        <w:autoSpaceDN w:val="0"/>
        <w:ind w:left="0"/>
        <w:jc w:val="both"/>
        <w:rPr>
          <w:szCs w:val="24"/>
          <w:lang w:eastAsia="en-US"/>
        </w:rPr>
      </w:pPr>
      <w:r w:rsidRPr="00BF2D6D">
        <w:rPr>
          <w:rFonts w:cs="Arial"/>
          <w:szCs w:val="24"/>
        </w:rPr>
        <w:t xml:space="preserve">The </w:t>
      </w:r>
      <w:r w:rsidRPr="00BF2D6D">
        <w:rPr>
          <w:szCs w:val="24"/>
        </w:rPr>
        <w:t xml:space="preserve">LCC policy, which has been in place for a number of years, is  a deliberate "low credit risk" investment policy, replacing bank deposits with bonds issued by governments, government agencies, government guaranteed bodies, supranational bodies and covered or collateralized corporate bonds. LCCs position is therefore substantially insulated from the effects of an individual or systemic banking </w:t>
      </w:r>
      <w:r w:rsidR="00745674">
        <w:rPr>
          <w:szCs w:val="24"/>
        </w:rPr>
        <w:t>crisis.</w:t>
      </w:r>
    </w:p>
    <w:p w:rsidR="00FD22F8" w:rsidRPr="00BF2D6D" w:rsidRDefault="00FD22F8" w:rsidP="00BF2D6D">
      <w:pPr>
        <w:jc w:val="both"/>
        <w:rPr>
          <w:szCs w:val="24"/>
          <w:lang w:eastAsia="en-US"/>
        </w:rPr>
      </w:pPr>
    </w:p>
    <w:p w:rsidR="00FD22F8" w:rsidRPr="00BF2D6D" w:rsidRDefault="00FD22F8" w:rsidP="00BF2D6D">
      <w:pPr>
        <w:jc w:val="both"/>
        <w:rPr>
          <w:szCs w:val="24"/>
          <w:lang w:eastAsia="en-US"/>
        </w:rPr>
      </w:pPr>
      <w:r w:rsidRPr="00BF2D6D">
        <w:rPr>
          <w:szCs w:val="24"/>
          <w:lang w:eastAsia="en-US"/>
        </w:rPr>
        <w:t>This strategy w</w:t>
      </w:r>
      <w:r w:rsidR="00561BFA">
        <w:rPr>
          <w:szCs w:val="24"/>
          <w:lang w:eastAsia="en-US"/>
        </w:rPr>
        <w:t xml:space="preserve">orked well during 2014/15. </w:t>
      </w:r>
      <w:r w:rsidR="00745674">
        <w:rPr>
          <w:szCs w:val="24"/>
          <w:lang w:eastAsia="en-US"/>
        </w:rPr>
        <w:t>R</w:t>
      </w:r>
      <w:r w:rsidRPr="00BF2D6D">
        <w:rPr>
          <w:szCs w:val="24"/>
          <w:lang w:eastAsia="en-US"/>
        </w:rPr>
        <w:t>eform</w:t>
      </w:r>
      <w:r w:rsidR="00745674">
        <w:rPr>
          <w:szCs w:val="24"/>
          <w:lang w:eastAsia="en-US"/>
        </w:rPr>
        <w:t>s</w:t>
      </w:r>
      <w:r w:rsidRPr="00BF2D6D">
        <w:rPr>
          <w:szCs w:val="24"/>
          <w:lang w:eastAsia="en-US"/>
        </w:rPr>
        <w:t xml:space="preserve"> of banking legislation </w:t>
      </w:r>
      <w:r w:rsidR="00745674">
        <w:rPr>
          <w:szCs w:val="24"/>
          <w:lang w:eastAsia="en-US"/>
        </w:rPr>
        <w:t xml:space="preserve">will </w:t>
      </w:r>
      <w:r w:rsidR="00561BFA">
        <w:rPr>
          <w:szCs w:val="24"/>
          <w:lang w:eastAsia="en-US"/>
        </w:rPr>
        <w:t xml:space="preserve">leave </w:t>
      </w:r>
      <w:r w:rsidRPr="00BF2D6D">
        <w:rPr>
          <w:szCs w:val="24"/>
          <w:lang w:eastAsia="en-US"/>
        </w:rPr>
        <w:t>local authorities as one of the few categories of organisation without any protection from losses</w:t>
      </w:r>
      <w:r w:rsidR="00CD5CEF" w:rsidRPr="00BF2D6D">
        <w:rPr>
          <w:szCs w:val="24"/>
          <w:lang w:eastAsia="en-US"/>
        </w:rPr>
        <w:t>. The control of credit risk will become increasingly important from 2015/16 onwards.</w:t>
      </w:r>
    </w:p>
    <w:p w:rsidR="00FD22F8" w:rsidRPr="00BF2D6D" w:rsidRDefault="00FD22F8" w:rsidP="00BF2D6D">
      <w:pPr>
        <w:jc w:val="both"/>
        <w:rPr>
          <w:szCs w:val="24"/>
          <w:lang w:eastAsia="en-US"/>
        </w:rPr>
      </w:pPr>
    </w:p>
    <w:p w:rsidR="00FD22F8" w:rsidRPr="00BF2D6D" w:rsidRDefault="00FD22F8" w:rsidP="00BF2D6D">
      <w:pPr>
        <w:jc w:val="both"/>
        <w:rPr>
          <w:szCs w:val="24"/>
        </w:rPr>
      </w:pPr>
      <w:r w:rsidRPr="00BF2D6D">
        <w:rPr>
          <w:szCs w:val="24"/>
        </w:rPr>
        <w:t xml:space="preserve">Evidence of </w:t>
      </w:r>
      <w:r w:rsidR="00CD5CEF" w:rsidRPr="00BF2D6D">
        <w:rPr>
          <w:szCs w:val="24"/>
        </w:rPr>
        <w:t>the</w:t>
      </w:r>
      <w:r w:rsidRPr="00BF2D6D">
        <w:rPr>
          <w:szCs w:val="24"/>
        </w:rPr>
        <w:t xml:space="preserve"> low credit risk </w:t>
      </w:r>
      <w:r w:rsidR="00CD5CEF" w:rsidRPr="00BF2D6D">
        <w:rPr>
          <w:szCs w:val="24"/>
        </w:rPr>
        <w:t xml:space="preserve">portfolio compared to the other </w:t>
      </w:r>
      <w:r w:rsidR="00976595">
        <w:rPr>
          <w:szCs w:val="24"/>
        </w:rPr>
        <w:t xml:space="preserve">clients of our investment advisors </w:t>
      </w:r>
      <w:proofErr w:type="spellStart"/>
      <w:r w:rsidR="00CD5CEF" w:rsidRPr="00976595">
        <w:rPr>
          <w:szCs w:val="24"/>
        </w:rPr>
        <w:t>Arlingclose</w:t>
      </w:r>
      <w:proofErr w:type="spellEnd"/>
      <w:r w:rsidR="00CD5CEF" w:rsidRPr="00976595">
        <w:rPr>
          <w:szCs w:val="24"/>
        </w:rPr>
        <w:t xml:space="preserve"> </w:t>
      </w:r>
      <w:r w:rsidRPr="00976595">
        <w:rPr>
          <w:szCs w:val="24"/>
        </w:rPr>
        <w:t xml:space="preserve">can be seen in the results of the </w:t>
      </w:r>
      <w:proofErr w:type="spellStart"/>
      <w:r w:rsidRPr="00976595">
        <w:rPr>
          <w:szCs w:val="24"/>
        </w:rPr>
        <w:t>Arlingclose</w:t>
      </w:r>
      <w:proofErr w:type="spellEnd"/>
      <w:r w:rsidRPr="00976595">
        <w:rPr>
          <w:szCs w:val="24"/>
        </w:rPr>
        <w:t xml:space="preserve"> bench</w:t>
      </w:r>
      <w:r w:rsidR="00CD5CEF" w:rsidRPr="00976595">
        <w:rPr>
          <w:szCs w:val="24"/>
        </w:rPr>
        <w:t>marking included in the appendices to this report.</w:t>
      </w:r>
      <w:r w:rsidR="005B76CE">
        <w:rPr>
          <w:szCs w:val="24"/>
        </w:rPr>
        <w:t xml:space="preserve"> These graphs show that Lancashire County Council is rated as low risk – high return compared to other county authorities and against other </w:t>
      </w:r>
      <w:proofErr w:type="spellStart"/>
      <w:r w:rsidR="005B76CE">
        <w:rPr>
          <w:szCs w:val="24"/>
        </w:rPr>
        <w:t>Arlingclose</w:t>
      </w:r>
      <w:proofErr w:type="spellEnd"/>
      <w:r w:rsidR="005B76CE">
        <w:rPr>
          <w:szCs w:val="24"/>
        </w:rPr>
        <w:t xml:space="preserve"> clients.</w:t>
      </w:r>
    </w:p>
    <w:p w:rsidR="00CD5CEF" w:rsidRPr="00BF2D6D" w:rsidRDefault="00CD5CEF" w:rsidP="00BF2D6D">
      <w:pPr>
        <w:jc w:val="both"/>
        <w:rPr>
          <w:szCs w:val="24"/>
        </w:rPr>
      </w:pPr>
    </w:p>
    <w:p w:rsidR="00CD5CEF" w:rsidRPr="00BF2D6D" w:rsidRDefault="00CD5CEF" w:rsidP="00BF2D6D">
      <w:pPr>
        <w:jc w:val="both"/>
        <w:rPr>
          <w:szCs w:val="24"/>
          <w:lang w:eastAsia="en-US"/>
        </w:rPr>
      </w:pPr>
      <w:r w:rsidRPr="00BF2D6D">
        <w:rPr>
          <w:rFonts w:cs="Arial"/>
          <w:szCs w:val="24"/>
        </w:rPr>
        <w:t xml:space="preserve">The </w:t>
      </w:r>
      <w:r w:rsidR="00836C5C">
        <w:rPr>
          <w:rFonts w:cs="Arial"/>
          <w:szCs w:val="24"/>
        </w:rPr>
        <w:t>C</w:t>
      </w:r>
      <w:r w:rsidRPr="00BF2D6D">
        <w:rPr>
          <w:rFonts w:cs="Arial"/>
          <w:szCs w:val="24"/>
        </w:rPr>
        <w:t>ouncil also aimed to achieve the optimum return on its investments commensurate with proper levels of security and liquidity</w:t>
      </w:r>
      <w:r w:rsidR="00A02695" w:rsidRPr="00BF2D6D">
        <w:rPr>
          <w:rFonts w:cs="Arial"/>
          <w:szCs w:val="24"/>
        </w:rPr>
        <w:t>.</w:t>
      </w:r>
      <w:r w:rsidRPr="00BF2D6D">
        <w:rPr>
          <w:rFonts w:cs="Arial"/>
          <w:szCs w:val="24"/>
        </w:rPr>
        <w:t xml:space="preserve"> </w:t>
      </w:r>
      <w:r w:rsidR="00A02695" w:rsidRPr="00BF2D6D">
        <w:rPr>
          <w:rFonts w:cs="Arial"/>
          <w:szCs w:val="24"/>
        </w:rPr>
        <w:t>During the 2014/15 financial year continued low in</w:t>
      </w:r>
      <w:r w:rsidR="00745674">
        <w:rPr>
          <w:rFonts w:cs="Arial"/>
          <w:szCs w:val="24"/>
        </w:rPr>
        <w:t xml:space="preserve">terest rates and the economic and political uncertainties </w:t>
      </w:r>
      <w:r w:rsidR="00A02695" w:rsidRPr="00BF2D6D">
        <w:rPr>
          <w:rFonts w:cs="Arial"/>
          <w:szCs w:val="24"/>
        </w:rPr>
        <w:t>described in the economic summary above</w:t>
      </w:r>
      <w:r w:rsidR="00745674">
        <w:rPr>
          <w:rFonts w:cs="Arial"/>
          <w:szCs w:val="24"/>
        </w:rPr>
        <w:t>,</w:t>
      </w:r>
      <w:r w:rsidRPr="00BF2D6D">
        <w:rPr>
          <w:rFonts w:cs="Arial"/>
          <w:szCs w:val="24"/>
        </w:rPr>
        <w:t xml:space="preserve"> </w:t>
      </w:r>
      <w:r w:rsidR="00A02695" w:rsidRPr="00BF2D6D">
        <w:rPr>
          <w:rFonts w:cs="Arial"/>
          <w:szCs w:val="24"/>
        </w:rPr>
        <w:t xml:space="preserve">increased the value of </w:t>
      </w:r>
      <w:r w:rsidR="00603383" w:rsidRPr="00BF2D6D">
        <w:rPr>
          <w:rFonts w:cs="Arial"/>
          <w:szCs w:val="24"/>
        </w:rPr>
        <w:t>low risk secure assets</w:t>
      </w:r>
      <w:r w:rsidR="00A02695" w:rsidRPr="00BF2D6D">
        <w:rPr>
          <w:rFonts w:cs="Arial"/>
          <w:szCs w:val="24"/>
        </w:rPr>
        <w:t xml:space="preserve"> such as those held by the county council. </w:t>
      </w:r>
      <w:r w:rsidR="00836C5C">
        <w:rPr>
          <w:rFonts w:cs="Arial"/>
          <w:szCs w:val="24"/>
        </w:rPr>
        <w:t>This le</w:t>
      </w:r>
      <w:r w:rsidR="00603383" w:rsidRPr="00BF2D6D">
        <w:rPr>
          <w:rFonts w:cs="Arial"/>
          <w:szCs w:val="24"/>
        </w:rPr>
        <w:t xml:space="preserve">d to a better than estimated investment performance during the year and </w:t>
      </w:r>
      <w:r w:rsidR="00960D8E" w:rsidRPr="00BF2D6D">
        <w:rPr>
          <w:rFonts w:cs="Arial"/>
          <w:szCs w:val="24"/>
        </w:rPr>
        <w:t>a surplus of income over expenditure</w:t>
      </w:r>
      <w:r w:rsidR="00603383" w:rsidRPr="00BF2D6D">
        <w:rPr>
          <w:rFonts w:cs="Arial"/>
          <w:szCs w:val="24"/>
        </w:rPr>
        <w:t xml:space="preserve"> on the capital financing budget.</w:t>
      </w:r>
    </w:p>
    <w:p w:rsidR="00FD22F8" w:rsidRPr="00BF2D6D" w:rsidRDefault="00FD22F8" w:rsidP="00BF2D6D">
      <w:pPr>
        <w:jc w:val="both"/>
        <w:rPr>
          <w:szCs w:val="24"/>
          <w:lang w:eastAsia="en-US"/>
        </w:rPr>
      </w:pPr>
    </w:p>
    <w:p w:rsidR="00FD22F8" w:rsidRPr="00BF2D6D" w:rsidRDefault="00FD22F8" w:rsidP="00BF2D6D">
      <w:pPr>
        <w:jc w:val="both"/>
        <w:rPr>
          <w:rFonts w:cs="Arial"/>
          <w:szCs w:val="24"/>
          <w:lang w:eastAsia="en-US"/>
        </w:rPr>
      </w:pPr>
      <w:r w:rsidRPr="00BF2D6D">
        <w:rPr>
          <w:rFonts w:cs="Arial"/>
          <w:szCs w:val="24"/>
          <w:lang w:eastAsia="en-US"/>
        </w:rPr>
        <w:t>The Council’s stated borrowing strategy was to take advantage of historically low short term interest rates by borrowing short term in the money markets rather than financing capital expenditure through long term Public Works Loan Board (PWLB)</w:t>
      </w:r>
      <w:r w:rsidRPr="00BF2D6D">
        <w:rPr>
          <w:rFonts w:cs="Arial"/>
          <w:color w:val="FF0000"/>
          <w:szCs w:val="24"/>
          <w:lang w:eastAsia="en-US"/>
        </w:rPr>
        <w:t xml:space="preserve"> </w:t>
      </w:r>
      <w:r w:rsidRPr="00BF2D6D">
        <w:rPr>
          <w:rFonts w:cs="Arial"/>
          <w:szCs w:val="24"/>
          <w:lang w:eastAsia="en-US"/>
        </w:rPr>
        <w:t>loans.</w:t>
      </w:r>
    </w:p>
    <w:p w:rsidR="00FD22F8" w:rsidRPr="00BF2D6D" w:rsidRDefault="00FD22F8" w:rsidP="00BF2D6D">
      <w:pPr>
        <w:jc w:val="both"/>
        <w:rPr>
          <w:rFonts w:cs="Arial"/>
          <w:szCs w:val="24"/>
        </w:rPr>
      </w:pPr>
    </w:p>
    <w:p w:rsidR="006B0350" w:rsidRPr="00D665FD" w:rsidRDefault="00D665FD" w:rsidP="00D665FD">
      <w:pPr>
        <w:jc w:val="both"/>
        <w:rPr>
          <w:rFonts w:cs="Arial"/>
          <w:szCs w:val="24"/>
        </w:rPr>
      </w:pPr>
      <w:r w:rsidRPr="00D665FD">
        <w:rPr>
          <w:rFonts w:cs="Arial"/>
          <w:szCs w:val="24"/>
        </w:rPr>
        <w:t>The I</w:t>
      </w:r>
      <w:r w:rsidR="002872C2" w:rsidRPr="00D665FD">
        <w:rPr>
          <w:rFonts w:cs="Arial"/>
          <w:szCs w:val="24"/>
        </w:rPr>
        <w:t>nterim Director of Financial Resources</w:t>
      </w:r>
      <w:r w:rsidR="00FD22F8" w:rsidRPr="00D665FD">
        <w:rPr>
          <w:rFonts w:cs="Arial"/>
          <w:szCs w:val="24"/>
        </w:rPr>
        <w:t xml:space="preserve"> can report that all treasury management activity undertaken during the financial year complied with the </w:t>
      </w:r>
      <w:r w:rsidR="00FD22F8" w:rsidRPr="00D665FD">
        <w:rPr>
          <w:rFonts w:cs="Arial"/>
          <w:i/>
          <w:szCs w:val="24"/>
        </w:rPr>
        <w:t>CIPFA Code of Practice</w:t>
      </w:r>
      <w:r w:rsidR="00FD22F8" w:rsidRPr="00D665FD">
        <w:rPr>
          <w:rFonts w:cs="Arial"/>
          <w:szCs w:val="24"/>
        </w:rPr>
        <w:t xml:space="preserve"> and the relevant legislative provisions.  </w:t>
      </w:r>
    </w:p>
    <w:p w:rsidR="002872C2" w:rsidRPr="00D665FD" w:rsidRDefault="002872C2" w:rsidP="00D665FD">
      <w:pPr>
        <w:rPr>
          <w:rFonts w:cs="Arial"/>
          <w:szCs w:val="24"/>
        </w:rPr>
      </w:pPr>
      <w:r w:rsidRPr="00D665FD">
        <w:rPr>
          <w:rFonts w:cs="Arial"/>
          <w:szCs w:val="24"/>
        </w:rPr>
        <w:br w:type="page"/>
      </w:r>
    </w:p>
    <w:p w:rsidR="00E362C7" w:rsidRPr="00836C5C" w:rsidRDefault="00836C5C" w:rsidP="00836C5C">
      <w:pPr>
        <w:jc w:val="both"/>
        <w:rPr>
          <w:rFonts w:cs="Arial"/>
          <w:b/>
          <w:szCs w:val="24"/>
        </w:rPr>
      </w:pPr>
      <w:r>
        <w:rPr>
          <w:rFonts w:cs="Arial"/>
          <w:b/>
          <w:szCs w:val="24"/>
        </w:rPr>
        <w:t xml:space="preserve">5. </w:t>
      </w:r>
      <w:r w:rsidR="000F1A22" w:rsidRPr="00836C5C">
        <w:rPr>
          <w:rFonts w:cs="Arial"/>
          <w:b/>
          <w:szCs w:val="24"/>
        </w:rPr>
        <w:t>Treasury</w:t>
      </w:r>
      <w:r w:rsidR="00E362C7" w:rsidRPr="00836C5C">
        <w:rPr>
          <w:rFonts w:cs="Arial"/>
          <w:b/>
          <w:szCs w:val="24"/>
        </w:rPr>
        <w:t xml:space="preserve"> Management Activities in </w:t>
      </w:r>
      <w:r w:rsidR="009D1168" w:rsidRPr="00836C5C">
        <w:rPr>
          <w:rFonts w:cs="Arial"/>
          <w:b/>
          <w:szCs w:val="24"/>
        </w:rPr>
        <w:t>201</w:t>
      </w:r>
      <w:r w:rsidR="008E6B65" w:rsidRPr="00836C5C">
        <w:rPr>
          <w:rFonts w:cs="Arial"/>
          <w:b/>
          <w:szCs w:val="24"/>
        </w:rPr>
        <w:t>4/15</w:t>
      </w:r>
    </w:p>
    <w:p w:rsidR="00E362C7" w:rsidRPr="00BF2D6D" w:rsidRDefault="00E362C7" w:rsidP="00BF2D6D">
      <w:pPr>
        <w:jc w:val="both"/>
        <w:rPr>
          <w:rFonts w:cs="Arial"/>
          <w:b/>
          <w:szCs w:val="24"/>
          <w:highlight w:val="yellow"/>
        </w:rPr>
      </w:pPr>
    </w:p>
    <w:p w:rsidR="00E362C7" w:rsidRPr="00BF2D6D" w:rsidRDefault="00F26B74" w:rsidP="00BF2D6D">
      <w:pPr>
        <w:jc w:val="both"/>
        <w:rPr>
          <w:rFonts w:cs="Arial"/>
          <w:b/>
          <w:szCs w:val="24"/>
        </w:rPr>
      </w:pPr>
      <w:r>
        <w:rPr>
          <w:rFonts w:cs="Arial"/>
          <w:b/>
          <w:szCs w:val="24"/>
        </w:rPr>
        <w:t xml:space="preserve">5.1 </w:t>
      </w:r>
      <w:r w:rsidR="00E362C7" w:rsidRPr="00BF2D6D">
        <w:rPr>
          <w:rFonts w:cs="Arial"/>
          <w:b/>
          <w:szCs w:val="24"/>
        </w:rPr>
        <w:t xml:space="preserve">Borrowing Activity </w:t>
      </w:r>
      <w:r w:rsidR="00D5428D" w:rsidRPr="00BF2D6D">
        <w:rPr>
          <w:rFonts w:cs="Arial"/>
          <w:b/>
          <w:szCs w:val="24"/>
        </w:rPr>
        <w:t>201</w:t>
      </w:r>
      <w:r w:rsidR="008E6B65" w:rsidRPr="00BF2D6D">
        <w:rPr>
          <w:rFonts w:cs="Arial"/>
          <w:b/>
          <w:szCs w:val="24"/>
        </w:rPr>
        <w:t>4/15</w:t>
      </w:r>
    </w:p>
    <w:p w:rsidR="00E362C7" w:rsidRPr="00BF2D6D" w:rsidRDefault="00E362C7" w:rsidP="00BF2D6D">
      <w:pPr>
        <w:jc w:val="both"/>
        <w:rPr>
          <w:rFonts w:cs="Arial"/>
          <w:b/>
          <w:szCs w:val="24"/>
        </w:rPr>
      </w:pPr>
    </w:p>
    <w:p w:rsidR="00E362C7" w:rsidRPr="00BF2D6D" w:rsidRDefault="00E362C7" w:rsidP="00B22DE2">
      <w:pPr>
        <w:jc w:val="both"/>
        <w:rPr>
          <w:rFonts w:cs="Arial"/>
          <w:szCs w:val="24"/>
        </w:rPr>
      </w:pPr>
      <w:r w:rsidRPr="00BF2D6D">
        <w:rPr>
          <w:rFonts w:cs="Arial"/>
          <w:szCs w:val="24"/>
        </w:rPr>
        <w:t xml:space="preserve">The </w:t>
      </w:r>
      <w:r w:rsidR="004F48AF" w:rsidRPr="00BF2D6D">
        <w:rPr>
          <w:rFonts w:cs="Arial"/>
          <w:szCs w:val="24"/>
        </w:rPr>
        <w:t xml:space="preserve">revised </w:t>
      </w:r>
      <w:r w:rsidRPr="00BF2D6D">
        <w:rPr>
          <w:rFonts w:cs="Arial"/>
          <w:szCs w:val="24"/>
        </w:rPr>
        <w:t>201</w:t>
      </w:r>
      <w:r w:rsidR="00CE0E9A" w:rsidRPr="00BF2D6D">
        <w:rPr>
          <w:rFonts w:cs="Arial"/>
          <w:szCs w:val="24"/>
        </w:rPr>
        <w:t>4/15</w:t>
      </w:r>
      <w:r w:rsidR="00D85271" w:rsidRPr="00BF2D6D">
        <w:rPr>
          <w:rFonts w:cs="Arial"/>
          <w:szCs w:val="24"/>
        </w:rPr>
        <w:t xml:space="preserve"> </w:t>
      </w:r>
      <w:r w:rsidRPr="00BF2D6D">
        <w:rPr>
          <w:rFonts w:cs="Arial"/>
          <w:szCs w:val="24"/>
        </w:rPr>
        <w:t xml:space="preserve">borrowing requirement </w:t>
      </w:r>
      <w:r w:rsidR="0020099D" w:rsidRPr="00BF2D6D">
        <w:rPr>
          <w:rFonts w:cs="Arial"/>
          <w:szCs w:val="24"/>
        </w:rPr>
        <w:t>was estimated at</w:t>
      </w:r>
      <w:r w:rsidRPr="00BF2D6D">
        <w:rPr>
          <w:rFonts w:cs="Arial"/>
          <w:szCs w:val="24"/>
        </w:rPr>
        <w:t xml:space="preserve"> £</w:t>
      </w:r>
      <w:r w:rsidR="00345FB0" w:rsidRPr="00BF2D6D">
        <w:rPr>
          <w:rFonts w:cs="Arial"/>
          <w:szCs w:val="24"/>
        </w:rPr>
        <w:t>549.109</w:t>
      </w:r>
      <w:r w:rsidR="002339EF" w:rsidRPr="00BF2D6D">
        <w:rPr>
          <w:rFonts w:cs="Arial"/>
          <w:szCs w:val="24"/>
        </w:rPr>
        <w:t>m</w:t>
      </w:r>
      <w:r w:rsidRPr="00BF2D6D">
        <w:rPr>
          <w:rFonts w:cs="Arial"/>
          <w:szCs w:val="24"/>
        </w:rPr>
        <w:t xml:space="preserve"> after taking into account the </w:t>
      </w:r>
      <w:r w:rsidR="00836C5C">
        <w:rPr>
          <w:rFonts w:cs="Arial"/>
          <w:szCs w:val="24"/>
        </w:rPr>
        <w:t>updated Capital P</w:t>
      </w:r>
      <w:r w:rsidR="004F48AF" w:rsidRPr="00BF2D6D">
        <w:rPr>
          <w:rFonts w:cs="Arial"/>
          <w:szCs w:val="24"/>
        </w:rPr>
        <w:t xml:space="preserve">rogramme and the refinancing of existing borrowing. The table below shows the </w:t>
      </w:r>
      <w:r w:rsidR="004262F6" w:rsidRPr="00BF2D6D">
        <w:rPr>
          <w:rFonts w:cs="Arial"/>
          <w:szCs w:val="24"/>
        </w:rPr>
        <w:t>201</w:t>
      </w:r>
      <w:r w:rsidR="00CE0E9A" w:rsidRPr="00BF2D6D">
        <w:rPr>
          <w:rFonts w:cs="Arial"/>
          <w:szCs w:val="24"/>
        </w:rPr>
        <w:t>4/15</w:t>
      </w:r>
      <w:r w:rsidR="00D85271" w:rsidRPr="00BF2D6D">
        <w:rPr>
          <w:rFonts w:cs="Arial"/>
          <w:szCs w:val="24"/>
        </w:rPr>
        <w:t xml:space="preserve"> </w:t>
      </w:r>
      <w:r w:rsidR="004F48AF" w:rsidRPr="00BF2D6D">
        <w:rPr>
          <w:rFonts w:cs="Arial"/>
          <w:szCs w:val="24"/>
        </w:rPr>
        <w:t>revised borrowing requirement along with the actual position as at 31</w:t>
      </w:r>
      <w:r w:rsidR="00D665FD">
        <w:rPr>
          <w:rFonts w:cs="Arial"/>
          <w:szCs w:val="24"/>
          <w:vertAlign w:val="superscript"/>
        </w:rPr>
        <w:t xml:space="preserve"> </w:t>
      </w:r>
      <w:r w:rsidR="004F48AF" w:rsidRPr="00BF2D6D">
        <w:rPr>
          <w:rFonts w:cs="Arial"/>
          <w:szCs w:val="24"/>
        </w:rPr>
        <w:t>March 201</w:t>
      </w:r>
      <w:r w:rsidR="008E6B65" w:rsidRPr="00BF2D6D">
        <w:rPr>
          <w:rFonts w:cs="Arial"/>
          <w:szCs w:val="24"/>
        </w:rPr>
        <w:t>5</w:t>
      </w:r>
      <w:r w:rsidRPr="00BF2D6D">
        <w:rPr>
          <w:rFonts w:cs="Arial"/>
          <w:szCs w:val="24"/>
        </w:rPr>
        <w:t xml:space="preserve">. </w:t>
      </w:r>
    </w:p>
    <w:p w:rsidR="004F48AF" w:rsidRPr="005B6B0C" w:rsidRDefault="004F48AF" w:rsidP="00E362C7">
      <w:pPr>
        <w:rPr>
          <w:highlight w:val="yellow"/>
        </w:rPr>
      </w:pPr>
    </w:p>
    <w:tbl>
      <w:tblPr>
        <w:tblW w:w="6464" w:type="dxa"/>
        <w:tblInd w:w="1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224"/>
        <w:gridCol w:w="1224"/>
        <w:gridCol w:w="236"/>
      </w:tblGrid>
      <w:tr w:rsidR="004F48AF" w:rsidRPr="005B6B0C" w:rsidTr="00516DB3">
        <w:tc>
          <w:tcPr>
            <w:tcW w:w="3780" w:type="dxa"/>
            <w:tcBorders>
              <w:top w:val="single" w:sz="4" w:space="0" w:color="auto"/>
            </w:tcBorders>
          </w:tcPr>
          <w:p w:rsidR="004F48AF" w:rsidRPr="00E0754C" w:rsidRDefault="004F48AF" w:rsidP="004262F6">
            <w:pPr>
              <w:rPr>
                <w:rFonts w:cs="Arial"/>
                <w:szCs w:val="24"/>
              </w:rPr>
            </w:pPr>
          </w:p>
        </w:tc>
        <w:tc>
          <w:tcPr>
            <w:tcW w:w="1224" w:type="dxa"/>
            <w:tcBorders>
              <w:top w:val="single" w:sz="4" w:space="0" w:color="auto"/>
            </w:tcBorders>
          </w:tcPr>
          <w:p w:rsidR="004F48AF" w:rsidRPr="00E0754C" w:rsidRDefault="004F48AF" w:rsidP="00E1144F">
            <w:pPr>
              <w:jc w:val="right"/>
              <w:rPr>
                <w:rFonts w:cs="Arial"/>
                <w:b/>
                <w:bCs/>
                <w:szCs w:val="24"/>
              </w:rPr>
            </w:pPr>
            <w:r w:rsidRPr="00E0754C">
              <w:rPr>
                <w:rFonts w:cs="Arial"/>
                <w:b/>
                <w:bCs/>
                <w:szCs w:val="24"/>
              </w:rPr>
              <w:t>201</w:t>
            </w:r>
            <w:r w:rsidR="002A5898" w:rsidRPr="00E0754C">
              <w:rPr>
                <w:rFonts w:cs="Arial"/>
                <w:b/>
                <w:bCs/>
                <w:szCs w:val="24"/>
              </w:rPr>
              <w:t>4/15</w:t>
            </w:r>
            <w:r w:rsidRPr="00E0754C">
              <w:rPr>
                <w:rFonts w:cs="Arial"/>
                <w:b/>
                <w:bCs/>
                <w:szCs w:val="24"/>
              </w:rPr>
              <w:t xml:space="preserve"> Revised</w:t>
            </w:r>
          </w:p>
        </w:tc>
        <w:tc>
          <w:tcPr>
            <w:tcW w:w="1224" w:type="dxa"/>
            <w:tcBorders>
              <w:top w:val="single" w:sz="4" w:space="0" w:color="auto"/>
            </w:tcBorders>
            <w:vAlign w:val="center"/>
          </w:tcPr>
          <w:p w:rsidR="00E1144F" w:rsidRPr="00E0754C" w:rsidRDefault="004F48AF" w:rsidP="00E1144F">
            <w:pPr>
              <w:jc w:val="right"/>
              <w:rPr>
                <w:rFonts w:cs="Arial"/>
                <w:b/>
                <w:bCs/>
                <w:szCs w:val="24"/>
              </w:rPr>
            </w:pPr>
            <w:r w:rsidRPr="00E0754C">
              <w:rPr>
                <w:rFonts w:cs="Arial"/>
                <w:b/>
                <w:bCs/>
                <w:szCs w:val="24"/>
              </w:rPr>
              <w:t>201</w:t>
            </w:r>
            <w:r w:rsidR="002A5898" w:rsidRPr="00E0754C">
              <w:rPr>
                <w:rFonts w:cs="Arial"/>
                <w:b/>
                <w:bCs/>
                <w:szCs w:val="24"/>
              </w:rPr>
              <w:t>4/15</w:t>
            </w:r>
          </w:p>
          <w:p w:rsidR="004F48AF" w:rsidRPr="00E0754C" w:rsidRDefault="00E1144F" w:rsidP="00E1144F">
            <w:pPr>
              <w:jc w:val="right"/>
              <w:rPr>
                <w:rFonts w:cs="Arial"/>
                <w:b/>
                <w:bCs/>
                <w:szCs w:val="24"/>
              </w:rPr>
            </w:pPr>
            <w:r w:rsidRPr="00E0754C">
              <w:rPr>
                <w:rFonts w:cs="Arial"/>
                <w:b/>
                <w:bCs/>
                <w:szCs w:val="24"/>
              </w:rPr>
              <w:t>A</w:t>
            </w:r>
            <w:r w:rsidR="004F48AF" w:rsidRPr="00E0754C">
              <w:rPr>
                <w:rFonts w:cs="Arial"/>
                <w:b/>
                <w:bCs/>
                <w:szCs w:val="24"/>
              </w:rPr>
              <w:t>ctual</w:t>
            </w:r>
          </w:p>
        </w:tc>
        <w:tc>
          <w:tcPr>
            <w:tcW w:w="236" w:type="dxa"/>
            <w:tcBorders>
              <w:top w:val="single" w:sz="4" w:space="0" w:color="auto"/>
            </w:tcBorders>
            <w:vAlign w:val="center"/>
          </w:tcPr>
          <w:p w:rsidR="004F48AF" w:rsidRPr="00B22DE2" w:rsidRDefault="004F48AF" w:rsidP="00E1144F">
            <w:pPr>
              <w:jc w:val="right"/>
              <w:rPr>
                <w:rFonts w:cs="Arial"/>
                <w:b/>
                <w:bCs/>
                <w:sz w:val="20"/>
              </w:rPr>
            </w:pPr>
          </w:p>
        </w:tc>
      </w:tr>
      <w:tr w:rsidR="004F48AF" w:rsidRPr="005B6B0C" w:rsidTr="00516DB3">
        <w:tc>
          <w:tcPr>
            <w:tcW w:w="3780" w:type="dxa"/>
          </w:tcPr>
          <w:p w:rsidR="004F48AF" w:rsidRPr="00E0754C" w:rsidRDefault="004F48AF" w:rsidP="004262F6">
            <w:pPr>
              <w:spacing w:after="120"/>
              <w:rPr>
                <w:rFonts w:cs="Arial"/>
                <w:szCs w:val="24"/>
              </w:rPr>
            </w:pPr>
          </w:p>
        </w:tc>
        <w:tc>
          <w:tcPr>
            <w:tcW w:w="1224" w:type="dxa"/>
          </w:tcPr>
          <w:p w:rsidR="004F48AF" w:rsidRPr="00E0754C" w:rsidRDefault="004F48AF" w:rsidP="004262F6">
            <w:pPr>
              <w:spacing w:after="120"/>
              <w:jc w:val="center"/>
              <w:rPr>
                <w:rFonts w:cs="Arial"/>
                <w:b/>
                <w:bCs/>
                <w:szCs w:val="24"/>
              </w:rPr>
            </w:pPr>
            <w:r w:rsidRPr="00E0754C">
              <w:rPr>
                <w:rFonts w:cs="Arial"/>
                <w:b/>
                <w:bCs/>
                <w:szCs w:val="24"/>
              </w:rPr>
              <w:t xml:space="preserve">   £m</w:t>
            </w:r>
          </w:p>
        </w:tc>
        <w:tc>
          <w:tcPr>
            <w:tcW w:w="1224" w:type="dxa"/>
          </w:tcPr>
          <w:p w:rsidR="004F48AF" w:rsidRPr="00E0754C" w:rsidRDefault="004F48AF" w:rsidP="004262F6">
            <w:pPr>
              <w:spacing w:after="120"/>
              <w:jc w:val="center"/>
              <w:rPr>
                <w:rFonts w:cs="Arial"/>
                <w:b/>
                <w:bCs/>
                <w:szCs w:val="24"/>
              </w:rPr>
            </w:pPr>
            <w:r w:rsidRPr="00E0754C">
              <w:rPr>
                <w:rFonts w:cs="Arial"/>
                <w:b/>
                <w:bCs/>
                <w:szCs w:val="24"/>
              </w:rPr>
              <w:t xml:space="preserve">   </w:t>
            </w:r>
            <w:r w:rsidR="00D665FD" w:rsidRPr="00E0754C">
              <w:rPr>
                <w:rFonts w:cs="Arial"/>
                <w:b/>
                <w:bCs/>
                <w:szCs w:val="24"/>
              </w:rPr>
              <w:t xml:space="preserve"> </w:t>
            </w:r>
            <w:r w:rsidRPr="00E0754C">
              <w:rPr>
                <w:rFonts w:cs="Arial"/>
                <w:b/>
                <w:bCs/>
                <w:szCs w:val="24"/>
              </w:rPr>
              <w:t>£m</w:t>
            </w:r>
          </w:p>
        </w:tc>
        <w:tc>
          <w:tcPr>
            <w:tcW w:w="236" w:type="dxa"/>
          </w:tcPr>
          <w:p w:rsidR="004F48AF" w:rsidRPr="00B22DE2" w:rsidRDefault="004F48AF" w:rsidP="004262F6">
            <w:pPr>
              <w:spacing w:after="120"/>
              <w:jc w:val="center"/>
              <w:rPr>
                <w:rFonts w:cs="Arial"/>
                <w:b/>
                <w:bCs/>
                <w:sz w:val="20"/>
              </w:rPr>
            </w:pPr>
          </w:p>
        </w:tc>
      </w:tr>
      <w:tr w:rsidR="004F48AF" w:rsidRPr="005B6B0C" w:rsidTr="00516DB3">
        <w:tc>
          <w:tcPr>
            <w:tcW w:w="3780" w:type="dxa"/>
          </w:tcPr>
          <w:p w:rsidR="004F48AF" w:rsidRPr="00E0754C" w:rsidRDefault="004F48AF" w:rsidP="004262F6">
            <w:pPr>
              <w:spacing w:after="240"/>
              <w:rPr>
                <w:rFonts w:cs="Arial"/>
                <w:b/>
                <w:szCs w:val="24"/>
              </w:rPr>
            </w:pPr>
            <w:r w:rsidRPr="00E0754C">
              <w:rPr>
                <w:rFonts w:cs="Arial"/>
                <w:b/>
                <w:szCs w:val="24"/>
              </w:rPr>
              <w:t>Capital Programme Expenditure</w:t>
            </w:r>
          </w:p>
        </w:tc>
        <w:tc>
          <w:tcPr>
            <w:tcW w:w="1224" w:type="dxa"/>
          </w:tcPr>
          <w:p w:rsidR="004F48AF" w:rsidRPr="00E0754C" w:rsidRDefault="00CE0E9A" w:rsidP="004262F6">
            <w:pPr>
              <w:jc w:val="right"/>
              <w:rPr>
                <w:rFonts w:cs="Arial"/>
                <w:b/>
                <w:szCs w:val="24"/>
              </w:rPr>
            </w:pPr>
            <w:r w:rsidRPr="00E0754C">
              <w:rPr>
                <w:rFonts w:cs="Arial"/>
                <w:b/>
                <w:szCs w:val="24"/>
              </w:rPr>
              <w:t>205.903</w:t>
            </w:r>
          </w:p>
        </w:tc>
        <w:tc>
          <w:tcPr>
            <w:tcW w:w="1224" w:type="dxa"/>
          </w:tcPr>
          <w:p w:rsidR="004F48AF" w:rsidRPr="00E0754C" w:rsidRDefault="006B0350" w:rsidP="004262F6">
            <w:pPr>
              <w:jc w:val="right"/>
              <w:rPr>
                <w:rFonts w:cs="Arial"/>
                <w:b/>
                <w:szCs w:val="24"/>
              </w:rPr>
            </w:pPr>
            <w:r w:rsidRPr="00E0754C">
              <w:rPr>
                <w:rFonts w:cs="Arial"/>
                <w:b/>
                <w:szCs w:val="24"/>
              </w:rPr>
              <w:t>178.016</w:t>
            </w:r>
          </w:p>
        </w:tc>
        <w:tc>
          <w:tcPr>
            <w:tcW w:w="236" w:type="dxa"/>
          </w:tcPr>
          <w:p w:rsidR="004F48AF" w:rsidRPr="00B22DE2" w:rsidRDefault="004F48AF" w:rsidP="002A720F">
            <w:pPr>
              <w:jc w:val="right"/>
              <w:rPr>
                <w:rFonts w:cs="Arial"/>
                <w:b/>
                <w:sz w:val="20"/>
              </w:rPr>
            </w:pPr>
          </w:p>
        </w:tc>
      </w:tr>
      <w:tr w:rsidR="004F48AF" w:rsidRPr="005B6B0C" w:rsidTr="00516DB3">
        <w:trPr>
          <w:trHeight w:val="1076"/>
        </w:trPr>
        <w:tc>
          <w:tcPr>
            <w:tcW w:w="3780" w:type="dxa"/>
          </w:tcPr>
          <w:p w:rsidR="004F48AF" w:rsidRPr="00E0754C" w:rsidRDefault="004F48AF" w:rsidP="004262F6">
            <w:pPr>
              <w:spacing w:after="240"/>
              <w:rPr>
                <w:rFonts w:cs="Arial"/>
                <w:b/>
                <w:i/>
                <w:szCs w:val="24"/>
              </w:rPr>
            </w:pPr>
            <w:r w:rsidRPr="00E0754C">
              <w:rPr>
                <w:rFonts w:cs="Arial"/>
                <w:b/>
                <w:i/>
                <w:szCs w:val="24"/>
              </w:rPr>
              <w:t>Financed by:</w:t>
            </w:r>
          </w:p>
          <w:p w:rsidR="004F48AF" w:rsidRPr="00E0754C" w:rsidRDefault="004F48AF" w:rsidP="004262F6">
            <w:pPr>
              <w:spacing w:after="240"/>
              <w:rPr>
                <w:rFonts w:cs="Arial"/>
                <w:szCs w:val="24"/>
              </w:rPr>
            </w:pPr>
            <w:r w:rsidRPr="00E0754C">
              <w:rPr>
                <w:rFonts w:cs="Arial"/>
                <w:szCs w:val="24"/>
              </w:rPr>
              <w:t>Capital Receipts</w:t>
            </w:r>
          </w:p>
        </w:tc>
        <w:tc>
          <w:tcPr>
            <w:tcW w:w="1224" w:type="dxa"/>
          </w:tcPr>
          <w:p w:rsidR="004F48AF" w:rsidRPr="00E0754C" w:rsidRDefault="004F48AF" w:rsidP="004262F6">
            <w:pPr>
              <w:jc w:val="right"/>
              <w:rPr>
                <w:rFonts w:cs="Arial"/>
                <w:szCs w:val="24"/>
              </w:rPr>
            </w:pPr>
          </w:p>
          <w:p w:rsidR="004F48AF" w:rsidRPr="00E0754C" w:rsidRDefault="004F48AF" w:rsidP="004262F6">
            <w:pPr>
              <w:jc w:val="right"/>
              <w:rPr>
                <w:rFonts w:cs="Arial"/>
                <w:szCs w:val="24"/>
              </w:rPr>
            </w:pPr>
          </w:p>
          <w:p w:rsidR="004F48AF" w:rsidRPr="00E0754C" w:rsidRDefault="002A5898" w:rsidP="004262F6">
            <w:pPr>
              <w:jc w:val="right"/>
              <w:rPr>
                <w:rFonts w:cs="Arial"/>
                <w:szCs w:val="24"/>
              </w:rPr>
            </w:pPr>
            <w:r w:rsidRPr="00E0754C">
              <w:rPr>
                <w:rFonts w:cs="Arial"/>
                <w:szCs w:val="24"/>
              </w:rPr>
              <w:t>8.171</w:t>
            </w:r>
          </w:p>
        </w:tc>
        <w:tc>
          <w:tcPr>
            <w:tcW w:w="1224" w:type="dxa"/>
          </w:tcPr>
          <w:p w:rsidR="004F48AF" w:rsidRPr="00E0754C" w:rsidRDefault="004F48AF" w:rsidP="004262F6">
            <w:pPr>
              <w:jc w:val="right"/>
              <w:rPr>
                <w:rFonts w:cs="Arial"/>
                <w:szCs w:val="24"/>
              </w:rPr>
            </w:pPr>
          </w:p>
          <w:p w:rsidR="004F48AF" w:rsidRPr="00E0754C" w:rsidRDefault="004F48AF" w:rsidP="004262F6">
            <w:pPr>
              <w:jc w:val="right"/>
              <w:rPr>
                <w:rFonts w:cs="Arial"/>
                <w:szCs w:val="24"/>
              </w:rPr>
            </w:pPr>
          </w:p>
          <w:p w:rsidR="004F48AF" w:rsidRPr="00E0754C" w:rsidRDefault="006B0350" w:rsidP="004262F6">
            <w:pPr>
              <w:jc w:val="right"/>
              <w:rPr>
                <w:rFonts w:cs="Arial"/>
                <w:szCs w:val="24"/>
              </w:rPr>
            </w:pPr>
            <w:r w:rsidRPr="00E0754C">
              <w:rPr>
                <w:rFonts w:cs="Arial"/>
                <w:szCs w:val="24"/>
              </w:rPr>
              <w:t>11.405</w:t>
            </w:r>
          </w:p>
        </w:tc>
        <w:tc>
          <w:tcPr>
            <w:tcW w:w="236" w:type="dxa"/>
          </w:tcPr>
          <w:p w:rsidR="00CD304A" w:rsidRPr="00B22DE2" w:rsidRDefault="00CD304A" w:rsidP="00B93247">
            <w:pPr>
              <w:jc w:val="right"/>
              <w:rPr>
                <w:rFonts w:cs="Arial"/>
                <w:sz w:val="20"/>
              </w:rPr>
            </w:pPr>
          </w:p>
        </w:tc>
      </w:tr>
      <w:tr w:rsidR="004F48AF" w:rsidRPr="005B6B0C" w:rsidTr="00516DB3">
        <w:tc>
          <w:tcPr>
            <w:tcW w:w="3780" w:type="dxa"/>
          </w:tcPr>
          <w:p w:rsidR="004F48AF" w:rsidRPr="00E0754C" w:rsidRDefault="004F48AF" w:rsidP="004262F6">
            <w:pPr>
              <w:spacing w:after="240"/>
              <w:rPr>
                <w:rFonts w:cs="Arial"/>
                <w:szCs w:val="24"/>
              </w:rPr>
            </w:pPr>
            <w:r w:rsidRPr="00E0754C">
              <w:rPr>
                <w:rFonts w:cs="Arial"/>
                <w:szCs w:val="24"/>
              </w:rPr>
              <w:t>Grants and Contributions</w:t>
            </w:r>
          </w:p>
        </w:tc>
        <w:tc>
          <w:tcPr>
            <w:tcW w:w="1224" w:type="dxa"/>
          </w:tcPr>
          <w:p w:rsidR="004F48AF" w:rsidRPr="00E0754C" w:rsidRDefault="002A5898" w:rsidP="004262F6">
            <w:pPr>
              <w:jc w:val="right"/>
              <w:rPr>
                <w:rFonts w:cs="Arial"/>
                <w:szCs w:val="24"/>
              </w:rPr>
            </w:pPr>
            <w:r w:rsidRPr="00E0754C">
              <w:rPr>
                <w:rFonts w:cs="Arial"/>
                <w:szCs w:val="24"/>
              </w:rPr>
              <w:t>187.450</w:t>
            </w:r>
          </w:p>
        </w:tc>
        <w:tc>
          <w:tcPr>
            <w:tcW w:w="1224" w:type="dxa"/>
          </w:tcPr>
          <w:p w:rsidR="004F48AF" w:rsidRPr="00E0754C" w:rsidRDefault="006B0350" w:rsidP="000A4614">
            <w:pPr>
              <w:jc w:val="right"/>
              <w:rPr>
                <w:rFonts w:cs="Arial"/>
                <w:szCs w:val="24"/>
              </w:rPr>
            </w:pPr>
            <w:r w:rsidRPr="00E0754C">
              <w:rPr>
                <w:rFonts w:cs="Arial"/>
                <w:szCs w:val="24"/>
              </w:rPr>
              <w:t>150.797</w:t>
            </w:r>
          </w:p>
        </w:tc>
        <w:tc>
          <w:tcPr>
            <w:tcW w:w="236" w:type="dxa"/>
          </w:tcPr>
          <w:p w:rsidR="004F48AF" w:rsidRPr="00B22DE2" w:rsidRDefault="004F48AF" w:rsidP="002A720F">
            <w:pPr>
              <w:jc w:val="right"/>
              <w:rPr>
                <w:rFonts w:cs="Arial"/>
                <w:sz w:val="20"/>
              </w:rPr>
            </w:pPr>
          </w:p>
        </w:tc>
      </w:tr>
      <w:tr w:rsidR="004F48AF" w:rsidRPr="005B6B0C" w:rsidTr="00516DB3">
        <w:tc>
          <w:tcPr>
            <w:tcW w:w="3780" w:type="dxa"/>
          </w:tcPr>
          <w:p w:rsidR="004F48AF" w:rsidRPr="00E0754C" w:rsidRDefault="004F48AF" w:rsidP="004262F6">
            <w:pPr>
              <w:spacing w:after="240"/>
              <w:rPr>
                <w:rFonts w:cs="Arial"/>
                <w:szCs w:val="24"/>
              </w:rPr>
            </w:pPr>
            <w:r w:rsidRPr="00E0754C">
              <w:rPr>
                <w:rFonts w:cs="Arial"/>
                <w:szCs w:val="24"/>
              </w:rPr>
              <w:t>Revenue Contributions</w:t>
            </w:r>
          </w:p>
        </w:tc>
        <w:tc>
          <w:tcPr>
            <w:tcW w:w="1224" w:type="dxa"/>
            <w:tcBorders>
              <w:bottom w:val="single" w:sz="4" w:space="0" w:color="auto"/>
            </w:tcBorders>
          </w:tcPr>
          <w:p w:rsidR="004F48AF" w:rsidRPr="00E0754C" w:rsidRDefault="002A5898" w:rsidP="004262F6">
            <w:pPr>
              <w:jc w:val="right"/>
              <w:rPr>
                <w:rFonts w:cs="Arial"/>
                <w:szCs w:val="24"/>
              </w:rPr>
            </w:pPr>
            <w:r w:rsidRPr="00E0754C">
              <w:rPr>
                <w:rFonts w:cs="Arial"/>
                <w:szCs w:val="24"/>
              </w:rPr>
              <w:t>8.999</w:t>
            </w:r>
          </w:p>
        </w:tc>
        <w:tc>
          <w:tcPr>
            <w:tcW w:w="1224" w:type="dxa"/>
            <w:tcBorders>
              <w:bottom w:val="single" w:sz="4" w:space="0" w:color="auto"/>
            </w:tcBorders>
          </w:tcPr>
          <w:p w:rsidR="004F48AF" w:rsidRPr="00E0754C" w:rsidRDefault="006B0350" w:rsidP="004262F6">
            <w:pPr>
              <w:jc w:val="right"/>
              <w:rPr>
                <w:rFonts w:cs="Arial"/>
                <w:szCs w:val="24"/>
              </w:rPr>
            </w:pPr>
            <w:r w:rsidRPr="00E0754C">
              <w:rPr>
                <w:rFonts w:cs="Arial"/>
                <w:szCs w:val="24"/>
              </w:rPr>
              <w:t>15.814</w:t>
            </w:r>
          </w:p>
        </w:tc>
        <w:tc>
          <w:tcPr>
            <w:tcW w:w="236" w:type="dxa"/>
            <w:tcBorders>
              <w:bottom w:val="single" w:sz="4" w:space="0" w:color="auto"/>
            </w:tcBorders>
          </w:tcPr>
          <w:p w:rsidR="004F48AF" w:rsidRPr="00B22DE2" w:rsidRDefault="004F48AF" w:rsidP="002A720F">
            <w:pPr>
              <w:jc w:val="right"/>
              <w:rPr>
                <w:rFonts w:cs="Arial"/>
                <w:sz w:val="20"/>
              </w:rPr>
            </w:pPr>
          </w:p>
        </w:tc>
      </w:tr>
      <w:tr w:rsidR="004F48AF" w:rsidRPr="005B6B0C" w:rsidTr="00516DB3">
        <w:trPr>
          <w:trHeight w:val="377"/>
        </w:trPr>
        <w:tc>
          <w:tcPr>
            <w:tcW w:w="3780" w:type="dxa"/>
          </w:tcPr>
          <w:p w:rsidR="004F48AF" w:rsidRPr="00E0754C" w:rsidRDefault="004F48AF" w:rsidP="004262F6">
            <w:pPr>
              <w:spacing w:after="240"/>
              <w:rPr>
                <w:rFonts w:cs="Arial"/>
                <w:b/>
                <w:szCs w:val="24"/>
              </w:rPr>
            </w:pPr>
            <w:r w:rsidRPr="00E0754C">
              <w:rPr>
                <w:rFonts w:cs="Arial"/>
                <w:b/>
                <w:szCs w:val="24"/>
              </w:rPr>
              <w:t>Borrowing</w:t>
            </w:r>
          </w:p>
        </w:tc>
        <w:tc>
          <w:tcPr>
            <w:tcW w:w="1224" w:type="dxa"/>
            <w:tcBorders>
              <w:top w:val="single" w:sz="4" w:space="0" w:color="auto"/>
              <w:bottom w:val="nil"/>
            </w:tcBorders>
          </w:tcPr>
          <w:p w:rsidR="004F48AF" w:rsidRPr="00E0754C" w:rsidRDefault="002A5898" w:rsidP="00E0754C">
            <w:pPr>
              <w:jc w:val="right"/>
              <w:rPr>
                <w:rFonts w:cs="Arial"/>
                <w:b/>
                <w:szCs w:val="24"/>
              </w:rPr>
            </w:pPr>
            <w:r w:rsidRPr="00E0754C">
              <w:rPr>
                <w:rFonts w:cs="Arial"/>
                <w:b/>
                <w:szCs w:val="24"/>
              </w:rPr>
              <w:t>1.283</w:t>
            </w:r>
          </w:p>
        </w:tc>
        <w:tc>
          <w:tcPr>
            <w:tcW w:w="1224" w:type="dxa"/>
            <w:tcBorders>
              <w:top w:val="single" w:sz="4" w:space="0" w:color="auto"/>
              <w:bottom w:val="nil"/>
            </w:tcBorders>
          </w:tcPr>
          <w:p w:rsidR="004F48AF" w:rsidRPr="00E0754C" w:rsidRDefault="00B93247" w:rsidP="00E0754C">
            <w:pPr>
              <w:jc w:val="right"/>
              <w:rPr>
                <w:rFonts w:cs="Arial"/>
                <w:b/>
                <w:szCs w:val="24"/>
              </w:rPr>
            </w:pPr>
            <w:r w:rsidRPr="00E0754C">
              <w:rPr>
                <w:rFonts w:cs="Arial"/>
                <w:b/>
                <w:szCs w:val="24"/>
              </w:rPr>
              <w:t>0</w:t>
            </w:r>
          </w:p>
        </w:tc>
        <w:tc>
          <w:tcPr>
            <w:tcW w:w="236" w:type="dxa"/>
            <w:tcBorders>
              <w:top w:val="single" w:sz="4" w:space="0" w:color="auto"/>
              <w:bottom w:val="nil"/>
            </w:tcBorders>
          </w:tcPr>
          <w:p w:rsidR="004F48AF" w:rsidRPr="00B22DE2" w:rsidRDefault="004F48AF" w:rsidP="002A720F">
            <w:pPr>
              <w:jc w:val="right"/>
              <w:rPr>
                <w:rFonts w:cs="Arial"/>
                <w:b/>
                <w:sz w:val="20"/>
              </w:rPr>
            </w:pPr>
          </w:p>
        </w:tc>
      </w:tr>
      <w:tr w:rsidR="004F48AF" w:rsidRPr="005B6B0C" w:rsidTr="00516DB3">
        <w:tc>
          <w:tcPr>
            <w:tcW w:w="3780" w:type="dxa"/>
          </w:tcPr>
          <w:p w:rsidR="004F48AF" w:rsidRPr="00E0754C" w:rsidRDefault="004F48AF" w:rsidP="004262F6">
            <w:pPr>
              <w:spacing w:after="240"/>
              <w:rPr>
                <w:rFonts w:cs="Arial"/>
                <w:b/>
                <w:szCs w:val="24"/>
              </w:rPr>
            </w:pPr>
            <w:r w:rsidRPr="00E0754C">
              <w:rPr>
                <w:rFonts w:cs="Arial"/>
                <w:b/>
                <w:i/>
                <w:szCs w:val="24"/>
              </w:rPr>
              <w:t>Add Maturing Debt to be replaced</w:t>
            </w:r>
            <w:r w:rsidRPr="00E0754C">
              <w:rPr>
                <w:rFonts w:cs="Arial"/>
                <w:b/>
                <w:szCs w:val="24"/>
              </w:rPr>
              <w:t>:</w:t>
            </w:r>
          </w:p>
        </w:tc>
        <w:tc>
          <w:tcPr>
            <w:tcW w:w="1224" w:type="dxa"/>
            <w:tcBorders>
              <w:top w:val="nil"/>
            </w:tcBorders>
          </w:tcPr>
          <w:p w:rsidR="004F48AF" w:rsidRPr="00E0754C" w:rsidRDefault="004F48AF" w:rsidP="004262F6">
            <w:pPr>
              <w:jc w:val="right"/>
              <w:rPr>
                <w:rFonts w:cs="Arial"/>
                <w:szCs w:val="24"/>
              </w:rPr>
            </w:pPr>
          </w:p>
        </w:tc>
        <w:tc>
          <w:tcPr>
            <w:tcW w:w="1224" w:type="dxa"/>
            <w:tcBorders>
              <w:top w:val="nil"/>
            </w:tcBorders>
          </w:tcPr>
          <w:p w:rsidR="004F48AF" w:rsidRPr="00E0754C" w:rsidRDefault="004F48AF" w:rsidP="004262F6">
            <w:pPr>
              <w:jc w:val="right"/>
              <w:rPr>
                <w:rFonts w:cs="Arial"/>
                <w:szCs w:val="24"/>
                <w:highlight w:val="yellow"/>
              </w:rPr>
            </w:pPr>
          </w:p>
        </w:tc>
        <w:tc>
          <w:tcPr>
            <w:tcW w:w="236" w:type="dxa"/>
            <w:tcBorders>
              <w:top w:val="nil"/>
            </w:tcBorders>
          </w:tcPr>
          <w:p w:rsidR="004F48AF" w:rsidRPr="00B22DE2" w:rsidRDefault="004F48AF" w:rsidP="004262F6">
            <w:pPr>
              <w:jc w:val="right"/>
              <w:rPr>
                <w:rFonts w:cs="Arial"/>
                <w:sz w:val="20"/>
              </w:rPr>
            </w:pPr>
          </w:p>
        </w:tc>
      </w:tr>
      <w:tr w:rsidR="004F48AF" w:rsidRPr="005B6B0C" w:rsidTr="00516DB3">
        <w:tc>
          <w:tcPr>
            <w:tcW w:w="3780" w:type="dxa"/>
          </w:tcPr>
          <w:p w:rsidR="004F48AF" w:rsidRPr="00E0754C" w:rsidRDefault="004F48AF" w:rsidP="004262F6">
            <w:pPr>
              <w:spacing w:after="240"/>
              <w:rPr>
                <w:rFonts w:cs="Arial"/>
                <w:szCs w:val="24"/>
              </w:rPr>
            </w:pPr>
            <w:r w:rsidRPr="00E0754C">
              <w:rPr>
                <w:rFonts w:cs="Arial"/>
                <w:szCs w:val="24"/>
              </w:rPr>
              <w:t>Short Term Market Borrowing</w:t>
            </w:r>
          </w:p>
        </w:tc>
        <w:tc>
          <w:tcPr>
            <w:tcW w:w="1224" w:type="dxa"/>
          </w:tcPr>
          <w:p w:rsidR="004F48AF" w:rsidRPr="00E0754C" w:rsidRDefault="00CE0E9A" w:rsidP="004262F6">
            <w:pPr>
              <w:jc w:val="right"/>
              <w:rPr>
                <w:rFonts w:cs="Arial"/>
                <w:szCs w:val="24"/>
              </w:rPr>
            </w:pPr>
            <w:r w:rsidRPr="00E0754C">
              <w:rPr>
                <w:rFonts w:cs="Arial"/>
                <w:szCs w:val="24"/>
              </w:rPr>
              <w:t>579.950</w:t>
            </w:r>
          </w:p>
          <w:p w:rsidR="004F48AF" w:rsidRPr="00E0754C" w:rsidRDefault="004F48AF" w:rsidP="004262F6">
            <w:pPr>
              <w:jc w:val="right"/>
              <w:rPr>
                <w:rFonts w:cs="Arial"/>
                <w:szCs w:val="24"/>
              </w:rPr>
            </w:pPr>
          </w:p>
        </w:tc>
        <w:tc>
          <w:tcPr>
            <w:tcW w:w="1224" w:type="dxa"/>
          </w:tcPr>
          <w:p w:rsidR="004F48AF" w:rsidRPr="00E0754C" w:rsidRDefault="00CE0E9A" w:rsidP="008D59A3">
            <w:pPr>
              <w:jc w:val="right"/>
              <w:rPr>
                <w:rFonts w:cs="Arial"/>
                <w:szCs w:val="24"/>
              </w:rPr>
            </w:pPr>
            <w:r w:rsidRPr="00E0754C">
              <w:rPr>
                <w:rFonts w:cs="Arial"/>
                <w:szCs w:val="24"/>
              </w:rPr>
              <w:t>573.000</w:t>
            </w:r>
          </w:p>
        </w:tc>
        <w:tc>
          <w:tcPr>
            <w:tcW w:w="236" w:type="dxa"/>
          </w:tcPr>
          <w:p w:rsidR="004F48AF" w:rsidRPr="00B22DE2" w:rsidRDefault="004F48AF" w:rsidP="004F48AF">
            <w:pPr>
              <w:jc w:val="right"/>
              <w:rPr>
                <w:rFonts w:cs="Arial"/>
                <w:sz w:val="20"/>
              </w:rPr>
            </w:pPr>
          </w:p>
        </w:tc>
      </w:tr>
      <w:tr w:rsidR="004F48AF" w:rsidRPr="005B6B0C" w:rsidTr="00516DB3">
        <w:tc>
          <w:tcPr>
            <w:tcW w:w="3780" w:type="dxa"/>
          </w:tcPr>
          <w:p w:rsidR="004F48AF" w:rsidRPr="00E0754C" w:rsidRDefault="004F48AF" w:rsidP="004262F6">
            <w:pPr>
              <w:spacing w:after="240"/>
              <w:rPr>
                <w:rFonts w:cs="Arial"/>
                <w:szCs w:val="24"/>
              </w:rPr>
            </w:pPr>
            <w:r w:rsidRPr="00E0754C">
              <w:rPr>
                <w:rFonts w:cs="Arial"/>
                <w:szCs w:val="24"/>
              </w:rPr>
              <w:t>Less Transferred Debt</w:t>
            </w:r>
          </w:p>
        </w:tc>
        <w:tc>
          <w:tcPr>
            <w:tcW w:w="1224" w:type="dxa"/>
          </w:tcPr>
          <w:p w:rsidR="004F48AF" w:rsidRPr="00E0754C" w:rsidRDefault="00CE0E9A" w:rsidP="004262F6">
            <w:pPr>
              <w:jc w:val="right"/>
              <w:rPr>
                <w:rFonts w:cs="Arial"/>
                <w:szCs w:val="24"/>
              </w:rPr>
            </w:pPr>
            <w:r w:rsidRPr="00E0754C">
              <w:rPr>
                <w:rFonts w:cs="Arial"/>
                <w:szCs w:val="24"/>
              </w:rPr>
              <w:t>1.967</w:t>
            </w:r>
          </w:p>
        </w:tc>
        <w:tc>
          <w:tcPr>
            <w:tcW w:w="1224" w:type="dxa"/>
          </w:tcPr>
          <w:p w:rsidR="004F48AF" w:rsidRPr="00E0754C" w:rsidRDefault="00CE0E9A" w:rsidP="004262F6">
            <w:pPr>
              <w:jc w:val="right"/>
              <w:rPr>
                <w:rFonts w:cs="Arial"/>
                <w:szCs w:val="24"/>
              </w:rPr>
            </w:pPr>
            <w:r w:rsidRPr="00E0754C">
              <w:rPr>
                <w:rFonts w:cs="Arial"/>
                <w:szCs w:val="24"/>
              </w:rPr>
              <w:t>1.967</w:t>
            </w:r>
          </w:p>
        </w:tc>
        <w:tc>
          <w:tcPr>
            <w:tcW w:w="236" w:type="dxa"/>
          </w:tcPr>
          <w:p w:rsidR="004F48AF" w:rsidRPr="00B22DE2" w:rsidRDefault="004F48AF" w:rsidP="004262F6">
            <w:pPr>
              <w:jc w:val="right"/>
              <w:rPr>
                <w:rFonts w:cs="Arial"/>
                <w:sz w:val="20"/>
              </w:rPr>
            </w:pPr>
          </w:p>
        </w:tc>
      </w:tr>
      <w:tr w:rsidR="004F48AF" w:rsidRPr="005B6B0C" w:rsidTr="00516DB3">
        <w:tc>
          <w:tcPr>
            <w:tcW w:w="3780" w:type="dxa"/>
          </w:tcPr>
          <w:p w:rsidR="004F48AF" w:rsidRPr="00E0754C" w:rsidRDefault="004F48AF" w:rsidP="004262F6">
            <w:pPr>
              <w:spacing w:after="240"/>
              <w:rPr>
                <w:rFonts w:cs="Arial"/>
                <w:szCs w:val="24"/>
              </w:rPr>
            </w:pPr>
            <w:r w:rsidRPr="00E0754C">
              <w:rPr>
                <w:rFonts w:cs="Arial"/>
                <w:szCs w:val="24"/>
              </w:rPr>
              <w:t>Less Statutory Charge to Revenue</w:t>
            </w:r>
          </w:p>
        </w:tc>
        <w:tc>
          <w:tcPr>
            <w:tcW w:w="1224" w:type="dxa"/>
            <w:tcBorders>
              <w:bottom w:val="single" w:sz="4" w:space="0" w:color="auto"/>
            </w:tcBorders>
          </w:tcPr>
          <w:p w:rsidR="004F48AF" w:rsidRPr="00E0754C" w:rsidRDefault="00CE0E9A" w:rsidP="004262F6">
            <w:pPr>
              <w:jc w:val="right"/>
              <w:rPr>
                <w:rFonts w:cs="Arial"/>
                <w:szCs w:val="24"/>
              </w:rPr>
            </w:pPr>
            <w:r w:rsidRPr="00E0754C">
              <w:rPr>
                <w:rFonts w:cs="Arial"/>
                <w:szCs w:val="24"/>
              </w:rPr>
              <w:t>30.157</w:t>
            </w:r>
          </w:p>
        </w:tc>
        <w:tc>
          <w:tcPr>
            <w:tcW w:w="1224" w:type="dxa"/>
            <w:tcBorders>
              <w:bottom w:val="single" w:sz="4" w:space="0" w:color="auto"/>
            </w:tcBorders>
          </w:tcPr>
          <w:p w:rsidR="004F48AF" w:rsidRPr="00E0754C" w:rsidRDefault="00CE0E9A" w:rsidP="004262F6">
            <w:pPr>
              <w:jc w:val="right"/>
              <w:rPr>
                <w:rFonts w:cs="Arial"/>
                <w:szCs w:val="24"/>
              </w:rPr>
            </w:pPr>
            <w:r w:rsidRPr="00E0754C">
              <w:rPr>
                <w:rFonts w:cs="Arial"/>
                <w:szCs w:val="24"/>
              </w:rPr>
              <w:t>30.157</w:t>
            </w:r>
          </w:p>
        </w:tc>
        <w:tc>
          <w:tcPr>
            <w:tcW w:w="236" w:type="dxa"/>
            <w:tcBorders>
              <w:bottom w:val="single" w:sz="4" w:space="0" w:color="auto"/>
            </w:tcBorders>
          </w:tcPr>
          <w:p w:rsidR="004F48AF" w:rsidRPr="00B22DE2" w:rsidRDefault="004F48AF" w:rsidP="004262F6">
            <w:pPr>
              <w:jc w:val="right"/>
              <w:rPr>
                <w:rFonts w:cs="Arial"/>
                <w:sz w:val="20"/>
              </w:rPr>
            </w:pPr>
          </w:p>
        </w:tc>
      </w:tr>
      <w:tr w:rsidR="004F48AF" w:rsidRPr="005B6B0C" w:rsidTr="00516DB3">
        <w:trPr>
          <w:trHeight w:val="678"/>
        </w:trPr>
        <w:tc>
          <w:tcPr>
            <w:tcW w:w="3780" w:type="dxa"/>
            <w:tcBorders>
              <w:bottom w:val="single" w:sz="4" w:space="0" w:color="auto"/>
            </w:tcBorders>
          </w:tcPr>
          <w:p w:rsidR="004F48AF" w:rsidRPr="00E0754C" w:rsidRDefault="004F48AF" w:rsidP="004262F6">
            <w:pPr>
              <w:spacing w:after="240"/>
              <w:rPr>
                <w:rFonts w:cs="Arial"/>
                <w:b/>
                <w:bCs/>
                <w:szCs w:val="24"/>
              </w:rPr>
            </w:pPr>
            <w:r w:rsidRPr="00E0754C">
              <w:rPr>
                <w:rFonts w:cs="Arial"/>
                <w:b/>
                <w:bCs/>
                <w:szCs w:val="24"/>
              </w:rPr>
              <w:t>Total Borrowing Requirement</w:t>
            </w:r>
          </w:p>
        </w:tc>
        <w:tc>
          <w:tcPr>
            <w:tcW w:w="1224" w:type="dxa"/>
            <w:tcBorders>
              <w:top w:val="single" w:sz="4" w:space="0" w:color="auto"/>
              <w:bottom w:val="single" w:sz="4" w:space="0" w:color="auto"/>
            </w:tcBorders>
          </w:tcPr>
          <w:p w:rsidR="004F48AF" w:rsidRPr="00E0754C" w:rsidRDefault="00CE0E9A" w:rsidP="004262F6">
            <w:pPr>
              <w:jc w:val="right"/>
              <w:rPr>
                <w:rFonts w:cs="Arial"/>
                <w:b/>
                <w:bCs/>
                <w:szCs w:val="24"/>
              </w:rPr>
            </w:pPr>
            <w:r w:rsidRPr="00E0754C">
              <w:rPr>
                <w:rFonts w:cs="Arial"/>
                <w:b/>
                <w:bCs/>
                <w:szCs w:val="24"/>
              </w:rPr>
              <w:t>549.109</w:t>
            </w:r>
          </w:p>
        </w:tc>
        <w:tc>
          <w:tcPr>
            <w:tcW w:w="1224" w:type="dxa"/>
            <w:tcBorders>
              <w:top w:val="single" w:sz="4" w:space="0" w:color="auto"/>
              <w:bottom w:val="single" w:sz="4" w:space="0" w:color="auto"/>
            </w:tcBorders>
          </w:tcPr>
          <w:p w:rsidR="004F48AF" w:rsidRPr="00E0754C" w:rsidRDefault="00CE0E9A" w:rsidP="008D59A3">
            <w:pPr>
              <w:jc w:val="right"/>
              <w:rPr>
                <w:rFonts w:cs="Arial"/>
                <w:b/>
                <w:bCs/>
                <w:szCs w:val="24"/>
              </w:rPr>
            </w:pPr>
            <w:r w:rsidRPr="00E0754C">
              <w:rPr>
                <w:rFonts w:cs="Arial"/>
                <w:b/>
                <w:bCs/>
                <w:szCs w:val="24"/>
              </w:rPr>
              <w:t>540.876</w:t>
            </w:r>
          </w:p>
        </w:tc>
        <w:tc>
          <w:tcPr>
            <w:tcW w:w="236" w:type="dxa"/>
            <w:tcBorders>
              <w:top w:val="single" w:sz="4" w:space="0" w:color="auto"/>
              <w:bottom w:val="single" w:sz="4" w:space="0" w:color="auto"/>
            </w:tcBorders>
          </w:tcPr>
          <w:p w:rsidR="004F48AF" w:rsidRPr="00B22DE2" w:rsidRDefault="004F48AF" w:rsidP="004262F6">
            <w:pPr>
              <w:jc w:val="right"/>
              <w:rPr>
                <w:rFonts w:cs="Arial"/>
                <w:b/>
                <w:bCs/>
                <w:sz w:val="20"/>
              </w:rPr>
            </w:pPr>
          </w:p>
        </w:tc>
      </w:tr>
    </w:tbl>
    <w:p w:rsidR="00E362C7" w:rsidRPr="005B6B0C" w:rsidRDefault="00E362C7" w:rsidP="00E362C7">
      <w:pPr>
        <w:rPr>
          <w:highlight w:val="yellow"/>
        </w:rPr>
      </w:pPr>
    </w:p>
    <w:p w:rsidR="00F90829" w:rsidRPr="00B22DE2" w:rsidRDefault="00671CDA" w:rsidP="00B22DE2">
      <w:pPr>
        <w:jc w:val="both"/>
        <w:rPr>
          <w:rFonts w:cs="Arial"/>
          <w:szCs w:val="24"/>
        </w:rPr>
      </w:pPr>
      <w:r w:rsidRPr="00B22DE2">
        <w:rPr>
          <w:rFonts w:cs="Arial"/>
          <w:szCs w:val="24"/>
        </w:rPr>
        <w:t>T</w:t>
      </w:r>
      <w:r w:rsidR="00C87EF6" w:rsidRPr="00B22DE2">
        <w:rPr>
          <w:rFonts w:cs="Arial"/>
          <w:szCs w:val="24"/>
        </w:rPr>
        <w:t xml:space="preserve">he revised capital programme </w:t>
      </w:r>
      <w:r w:rsidR="00CE0E9A" w:rsidRPr="00B22DE2">
        <w:rPr>
          <w:rFonts w:cs="Arial"/>
          <w:szCs w:val="24"/>
        </w:rPr>
        <w:t>estimated that £1.</w:t>
      </w:r>
      <w:r w:rsidR="006B0350" w:rsidRPr="00B22DE2">
        <w:rPr>
          <w:rFonts w:cs="Arial"/>
          <w:szCs w:val="24"/>
        </w:rPr>
        <w:t>283</w:t>
      </w:r>
      <w:r w:rsidRPr="00B22DE2">
        <w:rPr>
          <w:rFonts w:cs="Arial"/>
          <w:szCs w:val="24"/>
        </w:rPr>
        <w:t>m of</w:t>
      </w:r>
      <w:r w:rsidR="00C87EF6" w:rsidRPr="00B22DE2">
        <w:rPr>
          <w:rFonts w:cs="Arial"/>
          <w:szCs w:val="24"/>
        </w:rPr>
        <w:t xml:space="preserve"> new borrowing </w:t>
      </w:r>
      <w:r w:rsidRPr="00B22DE2">
        <w:rPr>
          <w:rFonts w:cs="Arial"/>
          <w:szCs w:val="24"/>
        </w:rPr>
        <w:t>would be required to finance the capital programme. However lower than anticipated capital expenditure meant this borrowing was not required.</w:t>
      </w:r>
    </w:p>
    <w:p w:rsidR="002872C2" w:rsidRDefault="002872C2">
      <w:pPr>
        <w:rPr>
          <w:rFonts w:cs="Arial"/>
          <w:szCs w:val="24"/>
        </w:rPr>
      </w:pPr>
      <w:r>
        <w:rPr>
          <w:rFonts w:cs="Arial"/>
          <w:szCs w:val="24"/>
        </w:rPr>
        <w:br w:type="page"/>
      </w:r>
    </w:p>
    <w:p w:rsidR="00E362C7" w:rsidRPr="00B22DE2" w:rsidRDefault="00F26B74" w:rsidP="00B22DE2">
      <w:pPr>
        <w:jc w:val="both"/>
        <w:rPr>
          <w:rFonts w:cs="Arial"/>
          <w:b/>
          <w:szCs w:val="24"/>
        </w:rPr>
      </w:pPr>
      <w:r>
        <w:rPr>
          <w:rFonts w:cs="Arial"/>
          <w:b/>
          <w:szCs w:val="24"/>
        </w:rPr>
        <w:t xml:space="preserve">5.2 </w:t>
      </w:r>
      <w:r w:rsidR="00E362C7" w:rsidRPr="00B22DE2">
        <w:rPr>
          <w:rFonts w:cs="Arial"/>
          <w:b/>
          <w:szCs w:val="24"/>
        </w:rPr>
        <w:t xml:space="preserve">Analysis of </w:t>
      </w:r>
      <w:r w:rsidR="00956D16" w:rsidRPr="00B22DE2">
        <w:rPr>
          <w:rFonts w:cs="Arial"/>
          <w:b/>
          <w:szCs w:val="24"/>
        </w:rPr>
        <w:t>Borrowing</w:t>
      </w:r>
      <w:r w:rsidR="00E362C7" w:rsidRPr="00B22DE2">
        <w:rPr>
          <w:rFonts w:cs="Arial"/>
          <w:b/>
          <w:szCs w:val="24"/>
        </w:rPr>
        <w:t xml:space="preserve"> Outstanding </w:t>
      </w:r>
    </w:p>
    <w:p w:rsidR="00E362C7" w:rsidRPr="00B22DE2" w:rsidRDefault="00E362C7" w:rsidP="00B22DE2">
      <w:pPr>
        <w:jc w:val="both"/>
        <w:rPr>
          <w:rFonts w:cs="Arial"/>
          <w:szCs w:val="24"/>
        </w:rPr>
      </w:pPr>
    </w:p>
    <w:p w:rsidR="005B6B0C" w:rsidRPr="00B22DE2" w:rsidRDefault="00E362C7" w:rsidP="00B22DE2">
      <w:pPr>
        <w:jc w:val="both"/>
        <w:rPr>
          <w:rFonts w:cs="Arial"/>
          <w:szCs w:val="24"/>
        </w:rPr>
      </w:pPr>
      <w:r w:rsidRPr="00B22DE2">
        <w:rPr>
          <w:rFonts w:cs="Arial"/>
          <w:szCs w:val="24"/>
        </w:rPr>
        <w:t xml:space="preserve">The following table sets out the structure of the County Council’s </w:t>
      </w:r>
      <w:r w:rsidR="00956D16" w:rsidRPr="00B22DE2">
        <w:rPr>
          <w:rFonts w:cs="Arial"/>
          <w:szCs w:val="24"/>
        </w:rPr>
        <w:t>treasury borrowing</w:t>
      </w:r>
      <w:r w:rsidR="00EC6F5B">
        <w:rPr>
          <w:rFonts w:cs="Arial"/>
          <w:szCs w:val="24"/>
        </w:rPr>
        <w:t xml:space="preserve"> as</w:t>
      </w:r>
      <w:r w:rsidRPr="00B22DE2">
        <w:rPr>
          <w:rFonts w:cs="Arial"/>
          <w:szCs w:val="24"/>
        </w:rPr>
        <w:t xml:space="preserve"> </w:t>
      </w:r>
      <w:r w:rsidR="00F453CD" w:rsidRPr="00B22DE2">
        <w:rPr>
          <w:rFonts w:cs="Arial"/>
          <w:szCs w:val="24"/>
        </w:rPr>
        <w:t>at 31 March</w:t>
      </w:r>
      <w:r w:rsidRPr="00B22DE2">
        <w:rPr>
          <w:rFonts w:cs="Arial"/>
          <w:szCs w:val="24"/>
        </w:rPr>
        <w:t xml:space="preserve"> </w:t>
      </w:r>
      <w:r w:rsidR="00F453CD" w:rsidRPr="00B22DE2">
        <w:rPr>
          <w:rFonts w:cs="Arial"/>
          <w:szCs w:val="24"/>
        </w:rPr>
        <w:t>201</w:t>
      </w:r>
      <w:r w:rsidR="005B6B0C" w:rsidRPr="00B22DE2">
        <w:rPr>
          <w:rFonts w:cs="Arial"/>
          <w:szCs w:val="24"/>
        </w:rPr>
        <w:t>5</w:t>
      </w:r>
      <w:r w:rsidR="00B22DE2">
        <w:rPr>
          <w:rFonts w:cs="Arial"/>
          <w:szCs w:val="24"/>
        </w:rPr>
        <w:t>:</w:t>
      </w:r>
    </w:p>
    <w:p w:rsidR="00DC5123" w:rsidRPr="00394475" w:rsidRDefault="00DC5123" w:rsidP="005D21D7"/>
    <w:tbl>
      <w:tblPr>
        <w:tblW w:w="8868" w:type="dxa"/>
        <w:tblInd w:w="93" w:type="dxa"/>
        <w:tblLook w:val="04A0" w:firstRow="1" w:lastRow="0" w:firstColumn="1" w:lastColumn="0" w:noHBand="0" w:noVBand="1"/>
      </w:tblPr>
      <w:tblGrid>
        <w:gridCol w:w="2105"/>
        <w:gridCol w:w="918"/>
        <w:gridCol w:w="918"/>
        <w:gridCol w:w="1348"/>
        <w:gridCol w:w="1558"/>
        <w:gridCol w:w="1103"/>
        <w:gridCol w:w="918"/>
      </w:tblGrid>
      <w:tr w:rsidR="00DC5123" w:rsidRPr="00394475" w:rsidTr="00E0754C">
        <w:trPr>
          <w:cantSplit/>
          <w:trHeight w:val="314"/>
        </w:trPr>
        <w:tc>
          <w:tcPr>
            <w:tcW w:w="2105" w:type="dxa"/>
            <w:vMerge w:val="restart"/>
            <w:tcBorders>
              <w:top w:val="single" w:sz="8" w:space="0" w:color="auto"/>
              <w:left w:val="single" w:sz="8" w:space="0" w:color="auto"/>
              <w:bottom w:val="nil"/>
              <w:right w:val="nil"/>
            </w:tcBorders>
            <w:shd w:val="clear" w:color="000000" w:fill="FFFFFF"/>
            <w:vAlign w:val="center"/>
            <w:hideMark/>
          </w:tcPr>
          <w:p w:rsidR="00DC5123" w:rsidRPr="006A1B86" w:rsidRDefault="00DC5123" w:rsidP="00DC5123">
            <w:pPr>
              <w:jc w:val="center"/>
              <w:rPr>
                <w:rFonts w:cs="Arial"/>
                <w:b/>
                <w:bCs/>
                <w:color w:val="000000"/>
                <w:sz w:val="22"/>
                <w:szCs w:val="22"/>
              </w:rPr>
            </w:pPr>
            <w:r w:rsidRPr="006A1B86">
              <w:rPr>
                <w:rFonts w:cs="Arial"/>
                <w:b/>
                <w:bCs/>
                <w:color w:val="000000"/>
                <w:sz w:val="22"/>
                <w:szCs w:val="22"/>
              </w:rPr>
              <w:t> </w:t>
            </w:r>
          </w:p>
        </w:tc>
        <w:tc>
          <w:tcPr>
            <w:tcW w:w="1836" w:type="dxa"/>
            <w:gridSpan w:val="2"/>
            <w:tcBorders>
              <w:top w:val="single" w:sz="8" w:space="0" w:color="auto"/>
              <w:left w:val="nil"/>
              <w:bottom w:val="nil"/>
              <w:right w:val="nil"/>
            </w:tcBorders>
            <w:shd w:val="clear" w:color="000000" w:fill="FFFFFF"/>
            <w:vAlign w:val="center"/>
            <w:hideMark/>
          </w:tcPr>
          <w:p w:rsidR="00DC5123" w:rsidRPr="006A1B86" w:rsidRDefault="00DC5123" w:rsidP="00DC5123">
            <w:pPr>
              <w:jc w:val="center"/>
              <w:rPr>
                <w:rFonts w:cs="Arial"/>
                <w:b/>
                <w:bCs/>
                <w:color w:val="000000"/>
                <w:sz w:val="22"/>
                <w:szCs w:val="22"/>
              </w:rPr>
            </w:pPr>
            <w:r w:rsidRPr="006A1B86">
              <w:rPr>
                <w:rFonts w:cs="Arial"/>
                <w:b/>
                <w:bCs/>
                <w:color w:val="000000"/>
                <w:sz w:val="22"/>
                <w:szCs w:val="22"/>
              </w:rPr>
              <w:t xml:space="preserve">Debt </w:t>
            </w:r>
            <w:r w:rsidR="00EC6F5B" w:rsidRPr="006A1B86">
              <w:rPr>
                <w:rFonts w:cs="Arial"/>
                <w:b/>
                <w:bCs/>
                <w:color w:val="000000"/>
                <w:sz w:val="22"/>
                <w:szCs w:val="22"/>
              </w:rPr>
              <w:t xml:space="preserve">as </w:t>
            </w:r>
            <w:r w:rsidRPr="006A1B86">
              <w:rPr>
                <w:rFonts w:cs="Arial"/>
                <w:b/>
                <w:bCs/>
                <w:color w:val="000000"/>
                <w:sz w:val="22"/>
                <w:szCs w:val="22"/>
              </w:rPr>
              <w:t>at</w:t>
            </w:r>
          </w:p>
        </w:tc>
        <w:tc>
          <w:tcPr>
            <w:tcW w:w="1348" w:type="dxa"/>
            <w:tcBorders>
              <w:top w:val="single" w:sz="8" w:space="0" w:color="auto"/>
              <w:left w:val="nil"/>
              <w:bottom w:val="nil"/>
              <w:right w:val="nil"/>
            </w:tcBorders>
            <w:shd w:val="clear" w:color="000000" w:fill="FFFFFF"/>
            <w:vAlign w:val="center"/>
            <w:hideMark/>
          </w:tcPr>
          <w:p w:rsidR="00DC5123" w:rsidRPr="006A1B86" w:rsidRDefault="00DC5123" w:rsidP="00DC5123">
            <w:pPr>
              <w:rPr>
                <w:rFonts w:cs="Arial"/>
                <w:b/>
                <w:bCs/>
                <w:color w:val="000000"/>
                <w:sz w:val="22"/>
                <w:szCs w:val="22"/>
              </w:rPr>
            </w:pPr>
            <w:r w:rsidRPr="006A1B86">
              <w:rPr>
                <w:rFonts w:cs="Arial"/>
                <w:b/>
                <w:bCs/>
                <w:color w:val="000000"/>
                <w:sz w:val="22"/>
                <w:szCs w:val="22"/>
              </w:rPr>
              <w:t>Borrowing</w:t>
            </w:r>
          </w:p>
        </w:tc>
        <w:tc>
          <w:tcPr>
            <w:tcW w:w="1558" w:type="dxa"/>
            <w:tcBorders>
              <w:top w:val="single" w:sz="8" w:space="0" w:color="auto"/>
              <w:left w:val="nil"/>
              <w:bottom w:val="nil"/>
              <w:right w:val="nil"/>
            </w:tcBorders>
            <w:shd w:val="clear" w:color="000000" w:fill="FFFFFF"/>
            <w:vAlign w:val="center"/>
            <w:hideMark/>
          </w:tcPr>
          <w:p w:rsidR="00DC5123" w:rsidRPr="006A1B86" w:rsidRDefault="00DC5123" w:rsidP="00DC5123">
            <w:pPr>
              <w:rPr>
                <w:rFonts w:cs="Arial"/>
                <w:b/>
                <w:bCs/>
                <w:color w:val="000000"/>
                <w:sz w:val="22"/>
                <w:szCs w:val="22"/>
              </w:rPr>
            </w:pPr>
            <w:r w:rsidRPr="006A1B86">
              <w:rPr>
                <w:rFonts w:cs="Arial"/>
                <w:b/>
                <w:bCs/>
                <w:color w:val="000000"/>
                <w:sz w:val="22"/>
                <w:szCs w:val="22"/>
              </w:rPr>
              <w:t>Repayments</w:t>
            </w:r>
          </w:p>
        </w:tc>
        <w:tc>
          <w:tcPr>
            <w:tcW w:w="2021" w:type="dxa"/>
            <w:gridSpan w:val="2"/>
            <w:tcBorders>
              <w:top w:val="single" w:sz="8" w:space="0" w:color="auto"/>
              <w:left w:val="nil"/>
              <w:bottom w:val="nil"/>
              <w:right w:val="single" w:sz="8" w:space="0" w:color="000000"/>
            </w:tcBorders>
            <w:shd w:val="clear" w:color="000000" w:fill="FFFFFF"/>
            <w:vAlign w:val="center"/>
            <w:hideMark/>
          </w:tcPr>
          <w:p w:rsidR="00DC5123" w:rsidRPr="006A1B86" w:rsidRDefault="00DC5123" w:rsidP="00DC5123">
            <w:pPr>
              <w:jc w:val="center"/>
              <w:rPr>
                <w:rFonts w:cs="Arial"/>
                <w:b/>
                <w:bCs/>
                <w:color w:val="000000"/>
                <w:sz w:val="22"/>
                <w:szCs w:val="22"/>
              </w:rPr>
            </w:pPr>
            <w:r w:rsidRPr="006A1B86">
              <w:rPr>
                <w:rFonts w:cs="Arial"/>
                <w:b/>
                <w:bCs/>
                <w:color w:val="000000"/>
                <w:sz w:val="22"/>
                <w:szCs w:val="22"/>
              </w:rPr>
              <w:t xml:space="preserve">Debt </w:t>
            </w:r>
            <w:r w:rsidR="00EC6F5B" w:rsidRPr="006A1B86">
              <w:rPr>
                <w:rFonts w:cs="Arial"/>
                <w:b/>
                <w:bCs/>
                <w:color w:val="000000"/>
                <w:sz w:val="22"/>
                <w:szCs w:val="22"/>
              </w:rPr>
              <w:t xml:space="preserve">as </w:t>
            </w:r>
            <w:r w:rsidRPr="006A1B86">
              <w:rPr>
                <w:rFonts w:cs="Arial"/>
                <w:b/>
                <w:bCs/>
                <w:color w:val="000000"/>
                <w:sz w:val="22"/>
                <w:szCs w:val="22"/>
              </w:rPr>
              <w:t>at</w:t>
            </w:r>
          </w:p>
        </w:tc>
      </w:tr>
      <w:tr w:rsidR="00DC5123" w:rsidRPr="00394475" w:rsidTr="00E0754C">
        <w:trPr>
          <w:trHeight w:val="299"/>
        </w:trPr>
        <w:tc>
          <w:tcPr>
            <w:tcW w:w="2105" w:type="dxa"/>
            <w:vMerge/>
            <w:tcBorders>
              <w:top w:val="single" w:sz="8" w:space="0" w:color="auto"/>
              <w:left w:val="single" w:sz="8" w:space="0" w:color="auto"/>
              <w:bottom w:val="nil"/>
              <w:right w:val="nil"/>
            </w:tcBorders>
            <w:vAlign w:val="center"/>
            <w:hideMark/>
          </w:tcPr>
          <w:p w:rsidR="00DC5123" w:rsidRPr="006A1B86" w:rsidRDefault="00DC5123" w:rsidP="00DC5123">
            <w:pPr>
              <w:rPr>
                <w:rFonts w:cs="Arial"/>
                <w:b/>
                <w:bCs/>
                <w:color w:val="000000"/>
                <w:sz w:val="22"/>
                <w:szCs w:val="22"/>
              </w:rPr>
            </w:pPr>
          </w:p>
        </w:tc>
        <w:tc>
          <w:tcPr>
            <w:tcW w:w="1836" w:type="dxa"/>
            <w:gridSpan w:val="2"/>
            <w:tcBorders>
              <w:top w:val="nil"/>
              <w:left w:val="nil"/>
              <w:bottom w:val="nil"/>
              <w:right w:val="nil"/>
            </w:tcBorders>
            <w:shd w:val="clear" w:color="000000" w:fill="FFFFFF"/>
            <w:vAlign w:val="center"/>
            <w:hideMark/>
          </w:tcPr>
          <w:p w:rsidR="00DC5123" w:rsidRPr="006A1B86" w:rsidRDefault="005B6B0C" w:rsidP="00DC5123">
            <w:pPr>
              <w:jc w:val="center"/>
              <w:rPr>
                <w:rFonts w:cs="Arial"/>
                <w:b/>
                <w:bCs/>
                <w:color w:val="000000"/>
                <w:sz w:val="22"/>
                <w:szCs w:val="22"/>
              </w:rPr>
            </w:pPr>
            <w:r w:rsidRPr="006A1B86">
              <w:rPr>
                <w:rFonts w:cs="Arial"/>
                <w:b/>
                <w:bCs/>
                <w:color w:val="000000"/>
                <w:sz w:val="22"/>
                <w:szCs w:val="22"/>
              </w:rPr>
              <w:t>31-Mar-14</w:t>
            </w:r>
          </w:p>
        </w:tc>
        <w:tc>
          <w:tcPr>
            <w:tcW w:w="1348" w:type="dxa"/>
            <w:tcBorders>
              <w:top w:val="nil"/>
              <w:left w:val="nil"/>
              <w:bottom w:val="nil"/>
              <w:right w:val="nil"/>
            </w:tcBorders>
            <w:shd w:val="clear" w:color="000000" w:fill="FFFFFF"/>
            <w:vAlign w:val="center"/>
            <w:hideMark/>
          </w:tcPr>
          <w:p w:rsidR="00DC5123" w:rsidRPr="006A1B86" w:rsidRDefault="00DC5123" w:rsidP="00DC5123">
            <w:pPr>
              <w:rPr>
                <w:rFonts w:cs="Arial"/>
                <w:b/>
                <w:bCs/>
                <w:color w:val="000000"/>
                <w:sz w:val="22"/>
                <w:szCs w:val="22"/>
              </w:rPr>
            </w:pPr>
            <w:r w:rsidRPr="006A1B86">
              <w:rPr>
                <w:rFonts w:cs="Arial"/>
                <w:b/>
                <w:bCs/>
                <w:color w:val="000000"/>
                <w:sz w:val="22"/>
                <w:szCs w:val="22"/>
              </w:rPr>
              <w:t> </w:t>
            </w:r>
          </w:p>
        </w:tc>
        <w:tc>
          <w:tcPr>
            <w:tcW w:w="1558" w:type="dxa"/>
            <w:tcBorders>
              <w:top w:val="nil"/>
              <w:left w:val="nil"/>
              <w:bottom w:val="nil"/>
              <w:right w:val="nil"/>
            </w:tcBorders>
            <w:shd w:val="clear" w:color="000000" w:fill="FFFFFF"/>
            <w:vAlign w:val="center"/>
            <w:hideMark/>
          </w:tcPr>
          <w:p w:rsidR="00DC5123" w:rsidRPr="006A1B86" w:rsidRDefault="00DC5123" w:rsidP="00DC5123">
            <w:pPr>
              <w:rPr>
                <w:rFonts w:cs="Arial"/>
                <w:b/>
                <w:bCs/>
                <w:color w:val="000000"/>
                <w:sz w:val="22"/>
                <w:szCs w:val="22"/>
              </w:rPr>
            </w:pPr>
            <w:r w:rsidRPr="006A1B86">
              <w:rPr>
                <w:rFonts w:cs="Arial"/>
                <w:b/>
                <w:bCs/>
                <w:color w:val="000000"/>
                <w:sz w:val="22"/>
                <w:szCs w:val="22"/>
              </w:rPr>
              <w:t> </w:t>
            </w:r>
          </w:p>
        </w:tc>
        <w:tc>
          <w:tcPr>
            <w:tcW w:w="2021" w:type="dxa"/>
            <w:gridSpan w:val="2"/>
            <w:tcBorders>
              <w:top w:val="nil"/>
              <w:left w:val="nil"/>
              <w:bottom w:val="nil"/>
              <w:right w:val="single" w:sz="8" w:space="0" w:color="000000"/>
            </w:tcBorders>
            <w:shd w:val="clear" w:color="000000" w:fill="FFFFFF"/>
            <w:vAlign w:val="center"/>
            <w:hideMark/>
          </w:tcPr>
          <w:p w:rsidR="00DC5123" w:rsidRPr="006A1B86" w:rsidRDefault="005B6B0C" w:rsidP="00DC5123">
            <w:pPr>
              <w:jc w:val="center"/>
              <w:rPr>
                <w:rFonts w:cs="Arial"/>
                <w:b/>
                <w:bCs/>
                <w:color w:val="000000"/>
                <w:sz w:val="22"/>
                <w:szCs w:val="22"/>
              </w:rPr>
            </w:pPr>
            <w:r w:rsidRPr="006A1B86">
              <w:rPr>
                <w:rFonts w:cs="Arial"/>
                <w:b/>
                <w:bCs/>
                <w:color w:val="000000"/>
                <w:sz w:val="22"/>
                <w:szCs w:val="22"/>
              </w:rPr>
              <w:t>31-Mar-15</w:t>
            </w:r>
          </w:p>
        </w:tc>
      </w:tr>
      <w:tr w:rsidR="00DC5123" w:rsidRPr="00394475" w:rsidTr="00E0754C">
        <w:trPr>
          <w:cantSplit/>
          <w:trHeight w:val="299"/>
        </w:trPr>
        <w:tc>
          <w:tcPr>
            <w:tcW w:w="2105" w:type="dxa"/>
            <w:tcBorders>
              <w:top w:val="nil"/>
              <w:left w:val="single" w:sz="8" w:space="0" w:color="auto"/>
              <w:bottom w:val="nil"/>
              <w:right w:val="nil"/>
            </w:tcBorders>
            <w:shd w:val="clear" w:color="000000" w:fill="FFFFFF"/>
            <w:vAlign w:val="center"/>
            <w:hideMark/>
          </w:tcPr>
          <w:p w:rsidR="00DC5123" w:rsidRPr="006A1B86" w:rsidRDefault="00DC5123" w:rsidP="00DC5123">
            <w:pPr>
              <w:rPr>
                <w:rFonts w:cs="Arial"/>
                <w:b/>
                <w:bCs/>
                <w:color w:val="000000"/>
                <w:sz w:val="22"/>
                <w:szCs w:val="22"/>
              </w:rPr>
            </w:pPr>
            <w:r w:rsidRPr="006A1B86">
              <w:rPr>
                <w:rFonts w:cs="Arial"/>
                <w:b/>
                <w:bCs/>
                <w:color w:val="000000"/>
                <w:sz w:val="22"/>
                <w:szCs w:val="22"/>
              </w:rPr>
              <w:t> </w:t>
            </w:r>
          </w:p>
        </w:tc>
        <w:tc>
          <w:tcPr>
            <w:tcW w:w="1836" w:type="dxa"/>
            <w:gridSpan w:val="2"/>
            <w:tcBorders>
              <w:top w:val="nil"/>
              <w:left w:val="nil"/>
              <w:bottom w:val="nil"/>
              <w:right w:val="nil"/>
            </w:tcBorders>
            <w:shd w:val="clear" w:color="000000" w:fill="FFFFFF"/>
            <w:vAlign w:val="center"/>
            <w:hideMark/>
          </w:tcPr>
          <w:p w:rsidR="00DC5123" w:rsidRPr="006A1B86" w:rsidRDefault="00DC5123" w:rsidP="00DC5123">
            <w:pPr>
              <w:jc w:val="center"/>
              <w:rPr>
                <w:rFonts w:cs="Arial"/>
                <w:b/>
                <w:bCs/>
                <w:color w:val="000000"/>
                <w:sz w:val="22"/>
                <w:szCs w:val="22"/>
              </w:rPr>
            </w:pPr>
            <w:r w:rsidRPr="006A1B86">
              <w:rPr>
                <w:rFonts w:cs="Arial"/>
                <w:b/>
                <w:bCs/>
                <w:color w:val="000000"/>
                <w:sz w:val="22"/>
                <w:szCs w:val="22"/>
              </w:rPr>
              <w:t> </w:t>
            </w:r>
          </w:p>
        </w:tc>
        <w:tc>
          <w:tcPr>
            <w:tcW w:w="1348" w:type="dxa"/>
            <w:tcBorders>
              <w:top w:val="nil"/>
              <w:left w:val="nil"/>
              <w:bottom w:val="nil"/>
              <w:right w:val="nil"/>
            </w:tcBorders>
            <w:shd w:val="clear" w:color="000000" w:fill="FFFFFF"/>
            <w:vAlign w:val="center"/>
            <w:hideMark/>
          </w:tcPr>
          <w:p w:rsidR="00DC5123" w:rsidRPr="006A1B86" w:rsidRDefault="00DC5123" w:rsidP="00DC5123">
            <w:pPr>
              <w:jc w:val="center"/>
              <w:rPr>
                <w:rFonts w:cs="Arial"/>
                <w:b/>
                <w:bCs/>
                <w:color w:val="000000"/>
                <w:sz w:val="22"/>
                <w:szCs w:val="22"/>
              </w:rPr>
            </w:pPr>
            <w:r w:rsidRPr="006A1B86">
              <w:rPr>
                <w:rFonts w:cs="Arial"/>
                <w:b/>
                <w:bCs/>
                <w:color w:val="000000"/>
                <w:sz w:val="22"/>
                <w:szCs w:val="22"/>
              </w:rPr>
              <w:t> </w:t>
            </w:r>
          </w:p>
        </w:tc>
        <w:tc>
          <w:tcPr>
            <w:tcW w:w="1558" w:type="dxa"/>
            <w:tcBorders>
              <w:top w:val="nil"/>
              <w:left w:val="nil"/>
              <w:bottom w:val="nil"/>
              <w:right w:val="nil"/>
            </w:tcBorders>
            <w:shd w:val="clear" w:color="000000" w:fill="FFFFFF"/>
            <w:vAlign w:val="center"/>
            <w:hideMark/>
          </w:tcPr>
          <w:p w:rsidR="00DC5123" w:rsidRPr="006A1B86" w:rsidRDefault="00DC5123" w:rsidP="00DC5123">
            <w:pPr>
              <w:jc w:val="center"/>
              <w:rPr>
                <w:rFonts w:cs="Arial"/>
                <w:b/>
                <w:bCs/>
                <w:color w:val="000000"/>
                <w:sz w:val="22"/>
                <w:szCs w:val="22"/>
              </w:rPr>
            </w:pPr>
            <w:r w:rsidRPr="006A1B86">
              <w:rPr>
                <w:rFonts w:cs="Arial"/>
                <w:b/>
                <w:bCs/>
                <w:color w:val="000000"/>
                <w:sz w:val="22"/>
                <w:szCs w:val="22"/>
              </w:rPr>
              <w:t> </w:t>
            </w:r>
          </w:p>
        </w:tc>
        <w:tc>
          <w:tcPr>
            <w:tcW w:w="2021" w:type="dxa"/>
            <w:gridSpan w:val="2"/>
            <w:tcBorders>
              <w:top w:val="nil"/>
              <w:left w:val="nil"/>
              <w:bottom w:val="nil"/>
              <w:right w:val="single" w:sz="8" w:space="0" w:color="000000"/>
            </w:tcBorders>
            <w:shd w:val="clear" w:color="000000" w:fill="FFFFFF"/>
            <w:vAlign w:val="center"/>
            <w:hideMark/>
          </w:tcPr>
          <w:p w:rsidR="00DC5123" w:rsidRPr="006A1B86" w:rsidRDefault="00DC5123" w:rsidP="00DC5123">
            <w:pPr>
              <w:jc w:val="center"/>
              <w:rPr>
                <w:rFonts w:cs="Arial"/>
                <w:b/>
                <w:bCs/>
                <w:color w:val="000000"/>
                <w:sz w:val="22"/>
                <w:szCs w:val="22"/>
              </w:rPr>
            </w:pPr>
            <w:r w:rsidRPr="006A1B86">
              <w:rPr>
                <w:rFonts w:cs="Arial"/>
                <w:b/>
                <w:bCs/>
                <w:color w:val="000000"/>
                <w:sz w:val="22"/>
                <w:szCs w:val="22"/>
              </w:rPr>
              <w:t> </w:t>
            </w:r>
          </w:p>
        </w:tc>
      </w:tr>
      <w:tr w:rsidR="00DC5123"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DC5123" w:rsidRPr="006A1B86" w:rsidRDefault="00DC5123" w:rsidP="00E0754C">
            <w:pPr>
              <w:jc w:val="center"/>
              <w:rPr>
                <w:rFonts w:cs="Arial"/>
                <w:b/>
                <w:bCs/>
                <w:color w:val="000000"/>
                <w:sz w:val="22"/>
                <w:szCs w:val="22"/>
              </w:rPr>
            </w:pPr>
          </w:p>
        </w:tc>
        <w:tc>
          <w:tcPr>
            <w:tcW w:w="918" w:type="dxa"/>
            <w:tcBorders>
              <w:top w:val="nil"/>
              <w:left w:val="nil"/>
              <w:bottom w:val="nil"/>
              <w:right w:val="nil"/>
            </w:tcBorders>
            <w:shd w:val="clear" w:color="000000" w:fill="FFFFFF"/>
            <w:vAlign w:val="center"/>
            <w:hideMark/>
          </w:tcPr>
          <w:p w:rsidR="00DC5123" w:rsidRPr="006A1B86" w:rsidRDefault="00DC5123" w:rsidP="00E0754C">
            <w:pPr>
              <w:jc w:val="center"/>
              <w:rPr>
                <w:rFonts w:cs="Arial"/>
                <w:b/>
                <w:bCs/>
                <w:color w:val="000000"/>
                <w:sz w:val="22"/>
                <w:szCs w:val="22"/>
              </w:rPr>
            </w:pPr>
            <w:r w:rsidRPr="006A1B86">
              <w:rPr>
                <w:rFonts w:cs="Arial"/>
                <w:b/>
                <w:bCs/>
                <w:color w:val="000000"/>
                <w:sz w:val="22"/>
                <w:szCs w:val="22"/>
              </w:rPr>
              <w:t>£m</w:t>
            </w:r>
          </w:p>
        </w:tc>
        <w:tc>
          <w:tcPr>
            <w:tcW w:w="918" w:type="dxa"/>
            <w:tcBorders>
              <w:top w:val="nil"/>
              <w:left w:val="nil"/>
              <w:bottom w:val="nil"/>
              <w:right w:val="nil"/>
            </w:tcBorders>
            <w:shd w:val="clear" w:color="000000" w:fill="FFFFFF"/>
            <w:vAlign w:val="center"/>
            <w:hideMark/>
          </w:tcPr>
          <w:p w:rsidR="00DC5123" w:rsidRPr="006A1B86" w:rsidRDefault="00DC5123" w:rsidP="00E0754C">
            <w:pPr>
              <w:jc w:val="center"/>
              <w:rPr>
                <w:rFonts w:cs="Arial"/>
                <w:b/>
                <w:bCs/>
                <w:color w:val="000000"/>
                <w:sz w:val="22"/>
                <w:szCs w:val="22"/>
              </w:rPr>
            </w:pPr>
            <w:r w:rsidRPr="006A1B86">
              <w:rPr>
                <w:rFonts w:cs="Arial"/>
                <w:b/>
                <w:bCs/>
                <w:color w:val="000000"/>
                <w:sz w:val="22"/>
                <w:szCs w:val="22"/>
              </w:rPr>
              <w:t>%</w:t>
            </w:r>
          </w:p>
        </w:tc>
        <w:tc>
          <w:tcPr>
            <w:tcW w:w="1348" w:type="dxa"/>
            <w:tcBorders>
              <w:top w:val="nil"/>
              <w:left w:val="nil"/>
              <w:bottom w:val="nil"/>
              <w:right w:val="nil"/>
            </w:tcBorders>
            <w:shd w:val="clear" w:color="000000" w:fill="FFFFFF"/>
            <w:vAlign w:val="center"/>
            <w:hideMark/>
          </w:tcPr>
          <w:p w:rsidR="00DC5123" w:rsidRPr="006A1B86" w:rsidRDefault="00DC5123" w:rsidP="00E0754C">
            <w:pPr>
              <w:jc w:val="center"/>
              <w:rPr>
                <w:rFonts w:cs="Arial"/>
                <w:b/>
                <w:bCs/>
                <w:color w:val="000000"/>
                <w:sz w:val="22"/>
                <w:szCs w:val="22"/>
              </w:rPr>
            </w:pPr>
            <w:r w:rsidRPr="006A1B86">
              <w:rPr>
                <w:rFonts w:cs="Arial"/>
                <w:b/>
                <w:bCs/>
                <w:color w:val="000000"/>
                <w:sz w:val="22"/>
                <w:szCs w:val="22"/>
              </w:rPr>
              <w:t>£m</w:t>
            </w:r>
          </w:p>
        </w:tc>
        <w:tc>
          <w:tcPr>
            <w:tcW w:w="1558" w:type="dxa"/>
            <w:tcBorders>
              <w:top w:val="nil"/>
              <w:left w:val="nil"/>
              <w:bottom w:val="nil"/>
              <w:right w:val="nil"/>
            </w:tcBorders>
            <w:shd w:val="clear" w:color="000000" w:fill="FFFFFF"/>
            <w:vAlign w:val="center"/>
            <w:hideMark/>
          </w:tcPr>
          <w:p w:rsidR="00DC5123" w:rsidRPr="006A1B86" w:rsidRDefault="00DC5123" w:rsidP="00E0754C">
            <w:pPr>
              <w:jc w:val="center"/>
              <w:rPr>
                <w:rFonts w:cs="Arial"/>
                <w:b/>
                <w:bCs/>
                <w:color w:val="000000"/>
                <w:sz w:val="22"/>
                <w:szCs w:val="22"/>
              </w:rPr>
            </w:pPr>
            <w:r w:rsidRPr="006A1B86">
              <w:rPr>
                <w:rFonts w:cs="Arial"/>
                <w:b/>
                <w:bCs/>
                <w:color w:val="000000"/>
                <w:sz w:val="22"/>
                <w:szCs w:val="22"/>
              </w:rPr>
              <w:t>£m</w:t>
            </w:r>
          </w:p>
        </w:tc>
        <w:tc>
          <w:tcPr>
            <w:tcW w:w="1103" w:type="dxa"/>
            <w:tcBorders>
              <w:top w:val="nil"/>
              <w:left w:val="nil"/>
              <w:bottom w:val="nil"/>
              <w:right w:val="nil"/>
            </w:tcBorders>
            <w:shd w:val="clear" w:color="000000" w:fill="FFFFFF"/>
            <w:vAlign w:val="center"/>
            <w:hideMark/>
          </w:tcPr>
          <w:p w:rsidR="00DC5123" w:rsidRPr="006A1B86" w:rsidRDefault="00DC5123" w:rsidP="00E0754C">
            <w:pPr>
              <w:jc w:val="center"/>
              <w:rPr>
                <w:rFonts w:cs="Arial"/>
                <w:b/>
                <w:bCs/>
                <w:color w:val="000000"/>
                <w:sz w:val="22"/>
                <w:szCs w:val="22"/>
              </w:rPr>
            </w:pPr>
            <w:r w:rsidRPr="006A1B86">
              <w:rPr>
                <w:rFonts w:cs="Arial"/>
                <w:b/>
                <w:bCs/>
                <w:color w:val="000000"/>
                <w:sz w:val="22"/>
                <w:szCs w:val="22"/>
              </w:rPr>
              <w:t>£m</w:t>
            </w:r>
          </w:p>
        </w:tc>
        <w:tc>
          <w:tcPr>
            <w:tcW w:w="918" w:type="dxa"/>
            <w:tcBorders>
              <w:top w:val="nil"/>
              <w:left w:val="nil"/>
              <w:bottom w:val="nil"/>
              <w:right w:val="single" w:sz="8" w:space="0" w:color="auto"/>
            </w:tcBorders>
            <w:shd w:val="clear" w:color="000000" w:fill="FFFFFF"/>
            <w:vAlign w:val="center"/>
            <w:hideMark/>
          </w:tcPr>
          <w:p w:rsidR="00DC5123" w:rsidRPr="006A1B86" w:rsidRDefault="00DC5123" w:rsidP="00E0754C">
            <w:pPr>
              <w:jc w:val="center"/>
              <w:rPr>
                <w:rFonts w:cs="Arial"/>
                <w:b/>
                <w:bCs/>
                <w:color w:val="000000"/>
                <w:sz w:val="22"/>
                <w:szCs w:val="22"/>
              </w:rPr>
            </w:pPr>
            <w:r w:rsidRPr="006A1B86">
              <w:rPr>
                <w:rFonts w:cs="Arial"/>
                <w:b/>
                <w:bCs/>
                <w:color w:val="000000"/>
                <w:sz w:val="22"/>
                <w:szCs w:val="22"/>
              </w:rPr>
              <w:t>%</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b/>
                <w:color w:val="404040"/>
                <w:sz w:val="22"/>
                <w:szCs w:val="22"/>
              </w:rPr>
            </w:pPr>
            <w:r w:rsidRPr="006A1B86">
              <w:rPr>
                <w:rFonts w:cs="Arial"/>
                <w:b/>
                <w:sz w:val="22"/>
                <w:szCs w:val="22"/>
              </w:rPr>
              <w:t>Fixed Rate Funding</w:t>
            </w:r>
          </w:p>
        </w:tc>
        <w:tc>
          <w:tcPr>
            <w:tcW w:w="918" w:type="dxa"/>
            <w:tcBorders>
              <w:top w:val="nil"/>
              <w:left w:val="nil"/>
              <w:bottom w:val="nil"/>
              <w:right w:val="nil"/>
            </w:tcBorders>
            <w:shd w:val="clear" w:color="000000" w:fill="FFFFFF"/>
            <w:vAlign w:val="center"/>
            <w:hideMark/>
          </w:tcPr>
          <w:p w:rsidR="005B6B0C" w:rsidRPr="006A1B86" w:rsidRDefault="005B6B0C" w:rsidP="005B6B0C">
            <w:pPr>
              <w:jc w:val="center"/>
              <w:rPr>
                <w:rFonts w:cs="Arial"/>
                <w:color w:val="000000"/>
                <w:sz w:val="22"/>
                <w:szCs w:val="22"/>
              </w:rPr>
            </w:pPr>
            <w:r w:rsidRPr="006A1B86">
              <w:rPr>
                <w:rFonts w:cs="Arial"/>
                <w:color w:val="000000"/>
                <w:sz w:val="22"/>
                <w:szCs w:val="22"/>
              </w:rPr>
              <w:t> </w:t>
            </w:r>
          </w:p>
        </w:tc>
        <w:tc>
          <w:tcPr>
            <w:tcW w:w="918" w:type="dxa"/>
            <w:tcBorders>
              <w:top w:val="nil"/>
              <w:left w:val="nil"/>
              <w:bottom w:val="nil"/>
              <w:right w:val="nil"/>
            </w:tcBorders>
            <w:shd w:val="clear" w:color="000000" w:fill="FFFFFF"/>
            <w:vAlign w:val="center"/>
            <w:hideMark/>
          </w:tcPr>
          <w:p w:rsidR="005B6B0C" w:rsidRPr="006A1B86" w:rsidRDefault="005B6B0C" w:rsidP="005B6B0C">
            <w:pPr>
              <w:jc w:val="center"/>
              <w:rPr>
                <w:rFonts w:cs="Arial"/>
                <w:color w:val="000000"/>
                <w:sz w:val="22"/>
                <w:szCs w:val="22"/>
              </w:rPr>
            </w:pPr>
            <w:r w:rsidRPr="006A1B86">
              <w:rPr>
                <w:rFonts w:cs="Arial"/>
                <w:color w:val="000000"/>
                <w:sz w:val="22"/>
                <w:szCs w:val="22"/>
              </w:rPr>
              <w:t> </w:t>
            </w:r>
          </w:p>
        </w:tc>
        <w:tc>
          <w:tcPr>
            <w:tcW w:w="1348" w:type="dxa"/>
            <w:tcBorders>
              <w:top w:val="nil"/>
              <w:left w:val="nil"/>
              <w:bottom w:val="nil"/>
              <w:right w:val="nil"/>
            </w:tcBorders>
            <w:shd w:val="clear" w:color="000000" w:fill="FFFFFF"/>
            <w:vAlign w:val="center"/>
            <w:hideMark/>
          </w:tcPr>
          <w:p w:rsidR="005B6B0C" w:rsidRPr="006A1B86" w:rsidRDefault="005B6B0C" w:rsidP="005B6B0C">
            <w:pPr>
              <w:jc w:val="center"/>
              <w:rPr>
                <w:rFonts w:cs="Arial"/>
                <w:color w:val="000000"/>
                <w:sz w:val="22"/>
                <w:szCs w:val="22"/>
              </w:rPr>
            </w:pPr>
            <w:r w:rsidRPr="006A1B86">
              <w:rPr>
                <w:rFonts w:cs="Arial"/>
                <w:color w:val="000000"/>
                <w:sz w:val="22"/>
                <w:szCs w:val="22"/>
              </w:rPr>
              <w:t> </w:t>
            </w:r>
          </w:p>
        </w:tc>
        <w:tc>
          <w:tcPr>
            <w:tcW w:w="1558" w:type="dxa"/>
            <w:tcBorders>
              <w:top w:val="nil"/>
              <w:left w:val="nil"/>
              <w:bottom w:val="nil"/>
              <w:right w:val="nil"/>
            </w:tcBorders>
            <w:shd w:val="clear" w:color="000000" w:fill="FFFFFF"/>
            <w:vAlign w:val="center"/>
            <w:hideMark/>
          </w:tcPr>
          <w:p w:rsidR="005B6B0C" w:rsidRPr="006A1B86" w:rsidRDefault="005B6B0C" w:rsidP="005B6B0C">
            <w:pPr>
              <w:jc w:val="center"/>
              <w:rPr>
                <w:rFonts w:cs="Arial"/>
                <w:color w:val="000000"/>
                <w:sz w:val="22"/>
                <w:szCs w:val="22"/>
              </w:rPr>
            </w:pPr>
            <w:r w:rsidRPr="006A1B86">
              <w:rPr>
                <w:rFonts w:cs="Arial"/>
                <w:color w:val="000000"/>
                <w:sz w:val="22"/>
                <w:szCs w:val="22"/>
              </w:rPr>
              <w:t> </w:t>
            </w:r>
          </w:p>
        </w:tc>
        <w:tc>
          <w:tcPr>
            <w:tcW w:w="1103" w:type="dxa"/>
            <w:tcBorders>
              <w:top w:val="nil"/>
              <w:left w:val="nil"/>
              <w:bottom w:val="nil"/>
              <w:right w:val="nil"/>
            </w:tcBorders>
            <w:shd w:val="clear" w:color="000000" w:fill="FFFFFF"/>
            <w:vAlign w:val="center"/>
            <w:hideMark/>
          </w:tcPr>
          <w:p w:rsidR="005B6B0C" w:rsidRPr="006A1B86" w:rsidRDefault="005B6B0C" w:rsidP="005B6B0C">
            <w:pPr>
              <w:jc w:val="center"/>
              <w:rPr>
                <w:rFonts w:cs="Arial"/>
                <w:color w:val="000000"/>
                <w:sz w:val="22"/>
                <w:szCs w:val="22"/>
              </w:rPr>
            </w:pPr>
            <w:r w:rsidRPr="006A1B86">
              <w:rPr>
                <w:rFonts w:cs="Arial"/>
                <w:color w:val="000000"/>
                <w:sz w:val="22"/>
                <w:szCs w:val="22"/>
              </w:rPr>
              <w:t> </w:t>
            </w:r>
          </w:p>
        </w:tc>
        <w:tc>
          <w:tcPr>
            <w:tcW w:w="918" w:type="dxa"/>
            <w:tcBorders>
              <w:top w:val="nil"/>
              <w:left w:val="nil"/>
              <w:bottom w:val="nil"/>
              <w:right w:val="single" w:sz="8" w:space="0" w:color="auto"/>
            </w:tcBorders>
            <w:shd w:val="clear" w:color="000000" w:fill="FFFFFF"/>
            <w:vAlign w:val="center"/>
            <w:hideMark/>
          </w:tcPr>
          <w:p w:rsidR="005B6B0C" w:rsidRPr="006A1B86" w:rsidRDefault="005B6B0C" w:rsidP="005B6B0C">
            <w:pPr>
              <w:jc w:val="center"/>
              <w:rPr>
                <w:rFonts w:cs="Arial"/>
                <w:color w:val="000000"/>
                <w:sz w:val="22"/>
                <w:szCs w:val="22"/>
              </w:rPr>
            </w:pPr>
            <w:r w:rsidRPr="006A1B86">
              <w:rPr>
                <w:rFonts w:cs="Arial"/>
                <w:color w:val="000000"/>
                <w:sz w:val="22"/>
                <w:szCs w:val="22"/>
              </w:rPr>
              <w:t> </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color w:val="000000"/>
                <w:sz w:val="22"/>
                <w:szCs w:val="22"/>
              </w:rPr>
            </w:pPr>
            <w:r w:rsidRPr="006A1B86">
              <w:rPr>
                <w:rFonts w:cs="Arial"/>
                <w:color w:val="000000"/>
                <w:sz w:val="22"/>
                <w:szCs w:val="22"/>
              </w:rPr>
              <w:t>Public Works Loan Board</w:t>
            </w: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213.10</w:t>
            </w: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26.22</w:t>
            </w:r>
          </w:p>
        </w:tc>
        <w:tc>
          <w:tcPr>
            <w:tcW w:w="134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w:t>
            </w:r>
          </w:p>
        </w:tc>
        <w:tc>
          <w:tcPr>
            <w:tcW w:w="155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w:t>
            </w:r>
          </w:p>
        </w:tc>
        <w:tc>
          <w:tcPr>
            <w:tcW w:w="1103"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213.10</w:t>
            </w:r>
          </w:p>
        </w:tc>
        <w:tc>
          <w:tcPr>
            <w:tcW w:w="918" w:type="dxa"/>
            <w:tcBorders>
              <w:top w:val="nil"/>
              <w:left w:val="nil"/>
              <w:bottom w:val="nil"/>
              <w:right w:val="single" w:sz="8" w:space="0" w:color="auto"/>
            </w:tcBorders>
            <w:shd w:val="clear" w:color="000000" w:fill="FFFFFF"/>
            <w:vAlign w:val="center"/>
            <w:hideMark/>
          </w:tcPr>
          <w:p w:rsidR="005B6B0C" w:rsidRPr="006A1B86" w:rsidRDefault="00CD2BC9" w:rsidP="001922F8">
            <w:pPr>
              <w:jc w:val="center"/>
              <w:rPr>
                <w:rFonts w:cs="Arial"/>
                <w:color w:val="000000"/>
                <w:sz w:val="22"/>
                <w:szCs w:val="22"/>
              </w:rPr>
            </w:pPr>
            <w:r w:rsidRPr="006A1B86">
              <w:rPr>
                <w:rFonts w:cs="Arial"/>
                <w:color w:val="000000"/>
                <w:sz w:val="22"/>
                <w:szCs w:val="22"/>
              </w:rPr>
              <w:t>20.58</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sz w:val="22"/>
                <w:szCs w:val="22"/>
              </w:rPr>
            </w:pPr>
            <w:r w:rsidRPr="006A1B86">
              <w:rPr>
                <w:rFonts w:cs="Arial"/>
                <w:sz w:val="22"/>
                <w:szCs w:val="22"/>
              </w:rPr>
              <w:t>*LOBO</w:t>
            </w: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50.00</w:t>
            </w: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6.15</w:t>
            </w:r>
          </w:p>
        </w:tc>
        <w:tc>
          <w:tcPr>
            <w:tcW w:w="134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w:t>
            </w:r>
          </w:p>
        </w:tc>
        <w:tc>
          <w:tcPr>
            <w:tcW w:w="155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w:t>
            </w:r>
          </w:p>
        </w:tc>
        <w:tc>
          <w:tcPr>
            <w:tcW w:w="1103" w:type="dxa"/>
            <w:tcBorders>
              <w:top w:val="nil"/>
              <w:left w:val="nil"/>
              <w:bottom w:val="nil"/>
              <w:right w:val="nil"/>
            </w:tcBorders>
            <w:shd w:val="clear" w:color="000000" w:fill="FFFFFF"/>
            <w:vAlign w:val="center"/>
            <w:hideMark/>
          </w:tcPr>
          <w:p w:rsidR="005B6B0C" w:rsidRPr="006A1B86" w:rsidRDefault="00350F5C" w:rsidP="001922F8">
            <w:pPr>
              <w:jc w:val="center"/>
              <w:rPr>
                <w:rFonts w:cs="Arial"/>
                <w:color w:val="000000"/>
                <w:sz w:val="22"/>
                <w:szCs w:val="22"/>
              </w:rPr>
            </w:pPr>
            <w:r w:rsidRPr="006A1B86">
              <w:rPr>
                <w:rFonts w:cs="Arial"/>
                <w:color w:val="000000"/>
                <w:sz w:val="22"/>
                <w:szCs w:val="22"/>
              </w:rPr>
              <w:t>52.23</w:t>
            </w:r>
          </w:p>
        </w:tc>
        <w:tc>
          <w:tcPr>
            <w:tcW w:w="918" w:type="dxa"/>
            <w:tcBorders>
              <w:top w:val="nil"/>
              <w:left w:val="nil"/>
              <w:bottom w:val="nil"/>
              <w:right w:val="single" w:sz="8" w:space="0" w:color="auto"/>
            </w:tcBorders>
            <w:shd w:val="clear" w:color="000000" w:fill="FFFFFF"/>
            <w:vAlign w:val="center"/>
            <w:hideMark/>
          </w:tcPr>
          <w:p w:rsidR="005B6B0C" w:rsidRPr="006A1B86" w:rsidRDefault="00CD2BC9" w:rsidP="001922F8">
            <w:pPr>
              <w:jc w:val="center"/>
              <w:rPr>
                <w:rFonts w:cs="Arial"/>
                <w:color w:val="000000"/>
                <w:sz w:val="22"/>
                <w:szCs w:val="22"/>
              </w:rPr>
            </w:pPr>
            <w:r w:rsidRPr="006A1B86">
              <w:rPr>
                <w:rFonts w:cs="Arial"/>
                <w:color w:val="000000"/>
                <w:sz w:val="22"/>
                <w:szCs w:val="22"/>
              </w:rPr>
              <w:t>5.04</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color w:val="000000"/>
                <w:sz w:val="22"/>
                <w:szCs w:val="22"/>
              </w:rPr>
            </w:pPr>
            <w:r w:rsidRPr="006A1B86">
              <w:rPr>
                <w:rFonts w:cs="Arial"/>
                <w:color w:val="000000"/>
                <w:sz w:val="22"/>
                <w:szCs w:val="22"/>
              </w:rPr>
              <w:t>Local Bonds</w:t>
            </w: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0.02</w:t>
            </w: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w:t>
            </w:r>
          </w:p>
        </w:tc>
        <w:tc>
          <w:tcPr>
            <w:tcW w:w="134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w:t>
            </w:r>
          </w:p>
        </w:tc>
        <w:tc>
          <w:tcPr>
            <w:tcW w:w="155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0.02</w:t>
            </w:r>
          </w:p>
        </w:tc>
        <w:tc>
          <w:tcPr>
            <w:tcW w:w="1103"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0.00</w:t>
            </w:r>
          </w:p>
        </w:tc>
        <w:tc>
          <w:tcPr>
            <w:tcW w:w="918" w:type="dxa"/>
            <w:tcBorders>
              <w:top w:val="nil"/>
              <w:left w:val="nil"/>
              <w:bottom w:val="nil"/>
              <w:right w:val="single" w:sz="8" w:space="0" w:color="auto"/>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0.00</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color w:val="000000"/>
                <w:sz w:val="22"/>
                <w:szCs w:val="22"/>
              </w:rPr>
            </w:pPr>
            <w:r w:rsidRPr="006A1B86">
              <w:rPr>
                <w:rFonts w:cs="Arial"/>
                <w:color w:val="000000"/>
                <w:sz w:val="22"/>
                <w:szCs w:val="22"/>
              </w:rPr>
              <w:t>Market Borrowing</w:t>
            </w:r>
          </w:p>
        </w:tc>
        <w:tc>
          <w:tcPr>
            <w:tcW w:w="91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330.95</w:t>
            </w:r>
          </w:p>
        </w:tc>
        <w:tc>
          <w:tcPr>
            <w:tcW w:w="91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40.73</w:t>
            </w:r>
          </w:p>
        </w:tc>
        <w:tc>
          <w:tcPr>
            <w:tcW w:w="134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703.80</w:t>
            </w:r>
          </w:p>
        </w:tc>
        <w:tc>
          <w:tcPr>
            <w:tcW w:w="155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461.75</w:t>
            </w:r>
          </w:p>
        </w:tc>
        <w:tc>
          <w:tcPr>
            <w:tcW w:w="1103"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573.00</w:t>
            </w:r>
          </w:p>
        </w:tc>
        <w:tc>
          <w:tcPr>
            <w:tcW w:w="918" w:type="dxa"/>
            <w:tcBorders>
              <w:top w:val="nil"/>
              <w:left w:val="nil"/>
              <w:bottom w:val="single" w:sz="4" w:space="0" w:color="auto"/>
              <w:right w:val="single" w:sz="8" w:space="0" w:color="auto"/>
            </w:tcBorders>
            <w:shd w:val="clear" w:color="000000" w:fill="FFFFFF"/>
            <w:vAlign w:val="center"/>
            <w:hideMark/>
          </w:tcPr>
          <w:p w:rsidR="005B6B0C" w:rsidRPr="006A1B86" w:rsidRDefault="00CD2BC9" w:rsidP="001922F8">
            <w:pPr>
              <w:jc w:val="center"/>
              <w:rPr>
                <w:rFonts w:cs="Arial"/>
                <w:color w:val="000000"/>
                <w:sz w:val="22"/>
                <w:szCs w:val="22"/>
              </w:rPr>
            </w:pPr>
            <w:r w:rsidRPr="006A1B86">
              <w:rPr>
                <w:rFonts w:cs="Arial"/>
                <w:color w:val="000000"/>
                <w:sz w:val="22"/>
                <w:szCs w:val="22"/>
              </w:rPr>
              <w:t>55.33</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jc w:val="center"/>
              <w:rPr>
                <w:rFonts w:cs="Arial"/>
                <w:b/>
                <w:bCs/>
                <w:color w:val="000000"/>
                <w:sz w:val="22"/>
                <w:szCs w:val="22"/>
              </w:rPr>
            </w:pPr>
            <w:r w:rsidRPr="006A1B86">
              <w:rPr>
                <w:rFonts w:cs="Arial"/>
                <w:b/>
                <w:bCs/>
                <w:color w:val="000000"/>
                <w:sz w:val="22"/>
                <w:szCs w:val="22"/>
              </w:rPr>
              <w:t> </w:t>
            </w:r>
          </w:p>
        </w:tc>
        <w:tc>
          <w:tcPr>
            <w:tcW w:w="918" w:type="dxa"/>
            <w:tcBorders>
              <w:top w:val="single" w:sz="4" w:space="0" w:color="auto"/>
              <w:left w:val="nil"/>
              <w:bottom w:val="nil"/>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594.07</w:t>
            </w:r>
          </w:p>
        </w:tc>
        <w:tc>
          <w:tcPr>
            <w:tcW w:w="918" w:type="dxa"/>
            <w:tcBorders>
              <w:top w:val="single" w:sz="4" w:space="0" w:color="auto"/>
              <w:left w:val="nil"/>
              <w:bottom w:val="nil"/>
              <w:right w:val="nil"/>
            </w:tcBorders>
            <w:shd w:val="clear" w:color="000000" w:fill="FFFFFF"/>
            <w:vAlign w:val="center"/>
            <w:hideMark/>
          </w:tcPr>
          <w:p w:rsidR="005B6B0C" w:rsidRPr="006A1B86" w:rsidRDefault="005B6B0C" w:rsidP="001922F8">
            <w:pPr>
              <w:jc w:val="center"/>
              <w:rPr>
                <w:rFonts w:cs="Arial"/>
                <w:b/>
                <w:bCs/>
                <w:color w:val="000000"/>
                <w:sz w:val="22"/>
                <w:szCs w:val="22"/>
              </w:rPr>
            </w:pPr>
          </w:p>
        </w:tc>
        <w:tc>
          <w:tcPr>
            <w:tcW w:w="1348" w:type="dxa"/>
            <w:tcBorders>
              <w:top w:val="single" w:sz="4" w:space="0" w:color="auto"/>
              <w:left w:val="nil"/>
              <w:bottom w:val="nil"/>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703.80</w:t>
            </w:r>
          </w:p>
        </w:tc>
        <w:tc>
          <w:tcPr>
            <w:tcW w:w="1558" w:type="dxa"/>
            <w:tcBorders>
              <w:top w:val="single" w:sz="4" w:space="0" w:color="auto"/>
              <w:left w:val="nil"/>
              <w:bottom w:val="nil"/>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461.77</w:t>
            </w:r>
          </w:p>
        </w:tc>
        <w:tc>
          <w:tcPr>
            <w:tcW w:w="1103" w:type="dxa"/>
            <w:tcBorders>
              <w:top w:val="single" w:sz="4" w:space="0" w:color="auto"/>
              <w:left w:val="nil"/>
              <w:bottom w:val="nil"/>
              <w:right w:val="nil"/>
            </w:tcBorders>
            <w:shd w:val="clear" w:color="000000" w:fill="FFFFFF"/>
            <w:vAlign w:val="center"/>
            <w:hideMark/>
          </w:tcPr>
          <w:p w:rsidR="005B6B0C" w:rsidRPr="006A1B86" w:rsidRDefault="00CD2BC9" w:rsidP="001922F8">
            <w:pPr>
              <w:jc w:val="center"/>
              <w:rPr>
                <w:rFonts w:cs="Arial"/>
                <w:b/>
                <w:bCs/>
                <w:color w:val="000000"/>
                <w:sz w:val="22"/>
                <w:szCs w:val="22"/>
              </w:rPr>
            </w:pPr>
            <w:r w:rsidRPr="006A1B86">
              <w:rPr>
                <w:rFonts w:cs="Arial"/>
                <w:b/>
                <w:bCs/>
                <w:color w:val="000000"/>
                <w:sz w:val="22"/>
                <w:szCs w:val="22"/>
              </w:rPr>
              <w:t>838.33</w:t>
            </w:r>
          </w:p>
        </w:tc>
        <w:tc>
          <w:tcPr>
            <w:tcW w:w="918" w:type="dxa"/>
            <w:tcBorders>
              <w:top w:val="single" w:sz="4" w:space="0" w:color="auto"/>
              <w:left w:val="nil"/>
              <w:bottom w:val="nil"/>
              <w:right w:val="single" w:sz="8" w:space="0" w:color="auto"/>
            </w:tcBorders>
            <w:shd w:val="clear" w:color="000000" w:fill="FFFFFF"/>
            <w:vAlign w:val="center"/>
            <w:hideMark/>
          </w:tcPr>
          <w:p w:rsidR="005B6B0C" w:rsidRPr="006A1B86" w:rsidRDefault="00CD2BC9" w:rsidP="001922F8">
            <w:pPr>
              <w:jc w:val="center"/>
              <w:rPr>
                <w:rFonts w:cs="Arial"/>
                <w:b/>
                <w:bCs/>
                <w:color w:val="000000"/>
                <w:sz w:val="22"/>
                <w:szCs w:val="22"/>
              </w:rPr>
            </w:pPr>
            <w:r w:rsidRPr="006A1B86">
              <w:rPr>
                <w:rFonts w:cs="Arial"/>
                <w:b/>
                <w:bCs/>
                <w:color w:val="000000"/>
                <w:sz w:val="22"/>
                <w:szCs w:val="22"/>
              </w:rPr>
              <w:t>80.96</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b/>
                <w:color w:val="000000"/>
                <w:sz w:val="22"/>
                <w:szCs w:val="22"/>
              </w:rPr>
            </w:pPr>
            <w:r w:rsidRPr="006A1B86">
              <w:rPr>
                <w:rFonts w:cs="Arial"/>
                <w:b/>
                <w:color w:val="000000"/>
                <w:sz w:val="22"/>
                <w:szCs w:val="22"/>
              </w:rPr>
              <w:t>Variable Rate Funding</w:t>
            </w: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134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155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1103"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918" w:type="dxa"/>
            <w:tcBorders>
              <w:top w:val="nil"/>
              <w:left w:val="nil"/>
              <w:bottom w:val="nil"/>
              <w:right w:val="single" w:sz="8" w:space="0" w:color="auto"/>
            </w:tcBorders>
            <w:shd w:val="clear" w:color="000000" w:fill="FFFFFF"/>
            <w:vAlign w:val="center"/>
            <w:hideMark/>
          </w:tcPr>
          <w:p w:rsidR="005B6B0C" w:rsidRPr="006A1B86" w:rsidRDefault="005B6B0C" w:rsidP="001922F8">
            <w:pPr>
              <w:jc w:val="center"/>
              <w:rPr>
                <w:rFonts w:cs="Arial"/>
                <w:color w:val="000000"/>
                <w:sz w:val="22"/>
                <w:szCs w:val="22"/>
              </w:rPr>
            </w:pP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color w:val="000000"/>
                <w:sz w:val="22"/>
                <w:szCs w:val="22"/>
              </w:rPr>
            </w:pPr>
            <w:r w:rsidRPr="006A1B86">
              <w:rPr>
                <w:rFonts w:cs="Arial"/>
                <w:color w:val="000000"/>
                <w:sz w:val="22"/>
                <w:szCs w:val="22"/>
              </w:rPr>
              <w:t>Public Works Loan Board</w:t>
            </w: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125.75</w:t>
            </w:r>
          </w:p>
        </w:tc>
        <w:tc>
          <w:tcPr>
            <w:tcW w:w="91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15.48</w:t>
            </w:r>
          </w:p>
        </w:tc>
        <w:tc>
          <w:tcPr>
            <w:tcW w:w="134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w:t>
            </w:r>
          </w:p>
        </w:tc>
        <w:tc>
          <w:tcPr>
            <w:tcW w:w="1558"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w:t>
            </w:r>
          </w:p>
        </w:tc>
        <w:tc>
          <w:tcPr>
            <w:tcW w:w="1103" w:type="dxa"/>
            <w:tcBorders>
              <w:top w:val="nil"/>
              <w:left w:val="nil"/>
              <w:bottom w:val="nil"/>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125.75</w:t>
            </w:r>
          </w:p>
        </w:tc>
        <w:tc>
          <w:tcPr>
            <w:tcW w:w="918" w:type="dxa"/>
            <w:tcBorders>
              <w:top w:val="nil"/>
              <w:left w:val="nil"/>
              <w:bottom w:val="nil"/>
              <w:right w:val="single" w:sz="8" w:space="0" w:color="auto"/>
            </w:tcBorders>
            <w:shd w:val="clear" w:color="000000" w:fill="FFFFFF"/>
            <w:vAlign w:val="center"/>
            <w:hideMark/>
          </w:tcPr>
          <w:p w:rsidR="00CD2BC9" w:rsidRPr="006A1B86" w:rsidRDefault="00CD2BC9" w:rsidP="001922F8">
            <w:pPr>
              <w:jc w:val="center"/>
              <w:rPr>
                <w:rFonts w:cs="Arial"/>
                <w:color w:val="000000"/>
                <w:sz w:val="22"/>
                <w:szCs w:val="22"/>
              </w:rPr>
            </w:pPr>
            <w:r w:rsidRPr="006A1B86">
              <w:rPr>
                <w:rFonts w:cs="Arial"/>
                <w:color w:val="000000"/>
                <w:sz w:val="22"/>
                <w:szCs w:val="22"/>
              </w:rPr>
              <w:t>12.14</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color w:val="000000"/>
                <w:sz w:val="22"/>
                <w:szCs w:val="22"/>
              </w:rPr>
            </w:pPr>
            <w:r w:rsidRPr="006A1B86">
              <w:rPr>
                <w:rFonts w:cs="Arial"/>
                <w:color w:val="000000"/>
                <w:sz w:val="22"/>
                <w:szCs w:val="22"/>
              </w:rPr>
              <w:t>Shared Investment Scheme</w:t>
            </w:r>
          </w:p>
        </w:tc>
        <w:tc>
          <w:tcPr>
            <w:tcW w:w="91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92.77</w:t>
            </w:r>
          </w:p>
        </w:tc>
        <w:tc>
          <w:tcPr>
            <w:tcW w:w="91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11.42</w:t>
            </w:r>
          </w:p>
        </w:tc>
        <w:tc>
          <w:tcPr>
            <w:tcW w:w="134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571.73</w:t>
            </w:r>
          </w:p>
        </w:tc>
        <w:tc>
          <w:tcPr>
            <w:tcW w:w="155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593.04</w:t>
            </w:r>
          </w:p>
        </w:tc>
        <w:tc>
          <w:tcPr>
            <w:tcW w:w="1103"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r w:rsidRPr="006A1B86">
              <w:rPr>
                <w:rFonts w:cs="Arial"/>
                <w:color w:val="000000"/>
                <w:sz w:val="22"/>
                <w:szCs w:val="22"/>
              </w:rPr>
              <w:t>71.46</w:t>
            </w:r>
          </w:p>
        </w:tc>
        <w:tc>
          <w:tcPr>
            <w:tcW w:w="918" w:type="dxa"/>
            <w:tcBorders>
              <w:top w:val="nil"/>
              <w:left w:val="nil"/>
              <w:bottom w:val="single" w:sz="4" w:space="0" w:color="auto"/>
              <w:right w:val="single" w:sz="8" w:space="0" w:color="auto"/>
            </w:tcBorders>
            <w:shd w:val="clear" w:color="000000" w:fill="FFFFFF"/>
            <w:vAlign w:val="center"/>
            <w:hideMark/>
          </w:tcPr>
          <w:p w:rsidR="005B6B0C" w:rsidRPr="006A1B86" w:rsidRDefault="00CD2BC9" w:rsidP="001922F8">
            <w:pPr>
              <w:jc w:val="center"/>
              <w:rPr>
                <w:rFonts w:cs="Arial"/>
                <w:color w:val="000000"/>
                <w:sz w:val="22"/>
                <w:szCs w:val="22"/>
              </w:rPr>
            </w:pPr>
            <w:r w:rsidRPr="006A1B86">
              <w:rPr>
                <w:rFonts w:cs="Arial"/>
                <w:color w:val="000000"/>
                <w:sz w:val="22"/>
                <w:szCs w:val="22"/>
              </w:rPr>
              <w:t>6.09</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color w:val="000000"/>
                <w:sz w:val="22"/>
                <w:szCs w:val="22"/>
              </w:rPr>
            </w:pPr>
            <w:r w:rsidRPr="006A1B86">
              <w:rPr>
                <w:rFonts w:cs="Arial"/>
                <w:color w:val="000000"/>
                <w:sz w:val="22"/>
                <w:szCs w:val="22"/>
              </w:rPr>
              <w:t> </w:t>
            </w:r>
          </w:p>
        </w:tc>
        <w:tc>
          <w:tcPr>
            <w:tcW w:w="918" w:type="dxa"/>
            <w:tcBorders>
              <w:top w:val="single" w:sz="4" w:space="0" w:color="auto"/>
              <w:left w:val="nil"/>
              <w:bottom w:val="nil"/>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218.52</w:t>
            </w:r>
          </w:p>
        </w:tc>
        <w:tc>
          <w:tcPr>
            <w:tcW w:w="918" w:type="dxa"/>
            <w:tcBorders>
              <w:top w:val="single" w:sz="4" w:space="0" w:color="auto"/>
              <w:left w:val="nil"/>
              <w:bottom w:val="nil"/>
              <w:right w:val="nil"/>
            </w:tcBorders>
            <w:shd w:val="clear" w:color="000000" w:fill="FFFFFF"/>
            <w:vAlign w:val="center"/>
            <w:hideMark/>
          </w:tcPr>
          <w:p w:rsidR="005B6B0C" w:rsidRPr="006A1B86" w:rsidRDefault="005B6B0C" w:rsidP="001922F8">
            <w:pPr>
              <w:jc w:val="center"/>
              <w:rPr>
                <w:rFonts w:cs="Arial"/>
                <w:b/>
                <w:bCs/>
                <w:color w:val="000000"/>
                <w:sz w:val="22"/>
                <w:szCs w:val="22"/>
              </w:rPr>
            </w:pPr>
          </w:p>
        </w:tc>
        <w:tc>
          <w:tcPr>
            <w:tcW w:w="1348" w:type="dxa"/>
            <w:tcBorders>
              <w:top w:val="single" w:sz="4" w:space="0" w:color="auto"/>
              <w:left w:val="nil"/>
              <w:bottom w:val="nil"/>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571.73</w:t>
            </w:r>
          </w:p>
        </w:tc>
        <w:tc>
          <w:tcPr>
            <w:tcW w:w="1558" w:type="dxa"/>
            <w:tcBorders>
              <w:top w:val="single" w:sz="4" w:space="0" w:color="auto"/>
              <w:left w:val="nil"/>
              <w:bottom w:val="nil"/>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593.04</w:t>
            </w:r>
          </w:p>
        </w:tc>
        <w:tc>
          <w:tcPr>
            <w:tcW w:w="1103" w:type="dxa"/>
            <w:tcBorders>
              <w:top w:val="single" w:sz="4" w:space="0" w:color="auto"/>
              <w:left w:val="nil"/>
              <w:bottom w:val="nil"/>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197.21</w:t>
            </w:r>
          </w:p>
        </w:tc>
        <w:tc>
          <w:tcPr>
            <w:tcW w:w="918" w:type="dxa"/>
            <w:tcBorders>
              <w:top w:val="single" w:sz="4" w:space="0" w:color="auto"/>
              <w:left w:val="nil"/>
              <w:bottom w:val="nil"/>
              <w:right w:val="single" w:sz="8" w:space="0" w:color="auto"/>
            </w:tcBorders>
            <w:shd w:val="clear" w:color="000000" w:fill="FFFFFF"/>
            <w:vAlign w:val="center"/>
            <w:hideMark/>
          </w:tcPr>
          <w:p w:rsidR="005B6B0C" w:rsidRPr="006A1B86" w:rsidRDefault="00CD2BC9" w:rsidP="001922F8">
            <w:pPr>
              <w:jc w:val="center"/>
              <w:rPr>
                <w:rFonts w:cs="Arial"/>
                <w:b/>
                <w:color w:val="000000"/>
                <w:sz w:val="22"/>
                <w:szCs w:val="22"/>
              </w:rPr>
            </w:pPr>
            <w:r w:rsidRPr="006A1B86">
              <w:rPr>
                <w:rFonts w:cs="Arial"/>
                <w:b/>
                <w:color w:val="000000"/>
                <w:sz w:val="22"/>
                <w:szCs w:val="22"/>
              </w:rPr>
              <w:t>19.04</w:t>
            </w:r>
          </w:p>
        </w:tc>
      </w:tr>
      <w:tr w:rsidR="005B6B0C" w:rsidRPr="00394475" w:rsidTr="00E0754C">
        <w:trPr>
          <w:trHeight w:val="299"/>
        </w:trPr>
        <w:tc>
          <w:tcPr>
            <w:tcW w:w="2105" w:type="dxa"/>
            <w:tcBorders>
              <w:top w:val="nil"/>
              <w:left w:val="single" w:sz="8" w:space="0" w:color="auto"/>
              <w:bottom w:val="nil"/>
              <w:right w:val="nil"/>
            </w:tcBorders>
            <w:shd w:val="clear" w:color="000000" w:fill="FFFFFF"/>
            <w:vAlign w:val="center"/>
            <w:hideMark/>
          </w:tcPr>
          <w:p w:rsidR="005B6B0C" w:rsidRPr="006A1B86" w:rsidRDefault="005B6B0C" w:rsidP="005B6B0C">
            <w:pPr>
              <w:rPr>
                <w:rFonts w:cs="Arial"/>
                <w:color w:val="000000"/>
                <w:sz w:val="22"/>
                <w:szCs w:val="22"/>
              </w:rPr>
            </w:pPr>
            <w:r w:rsidRPr="006A1B86">
              <w:rPr>
                <w:rFonts w:cs="Arial"/>
                <w:color w:val="000000"/>
                <w:sz w:val="22"/>
                <w:szCs w:val="22"/>
              </w:rPr>
              <w:t> </w:t>
            </w:r>
          </w:p>
        </w:tc>
        <w:tc>
          <w:tcPr>
            <w:tcW w:w="91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91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134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1558"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1103" w:type="dxa"/>
            <w:tcBorders>
              <w:top w:val="nil"/>
              <w:left w:val="nil"/>
              <w:bottom w:val="single" w:sz="4" w:space="0" w:color="auto"/>
              <w:right w:val="nil"/>
            </w:tcBorders>
            <w:shd w:val="clear" w:color="000000" w:fill="FFFFFF"/>
            <w:vAlign w:val="center"/>
            <w:hideMark/>
          </w:tcPr>
          <w:p w:rsidR="005B6B0C" w:rsidRPr="006A1B86" w:rsidRDefault="005B6B0C" w:rsidP="001922F8">
            <w:pPr>
              <w:jc w:val="center"/>
              <w:rPr>
                <w:rFonts w:cs="Arial"/>
                <w:color w:val="000000"/>
                <w:sz w:val="22"/>
                <w:szCs w:val="22"/>
              </w:rPr>
            </w:pPr>
          </w:p>
        </w:tc>
        <w:tc>
          <w:tcPr>
            <w:tcW w:w="918" w:type="dxa"/>
            <w:tcBorders>
              <w:top w:val="nil"/>
              <w:left w:val="nil"/>
              <w:bottom w:val="single" w:sz="4" w:space="0" w:color="auto"/>
              <w:right w:val="single" w:sz="8" w:space="0" w:color="auto"/>
            </w:tcBorders>
            <w:shd w:val="clear" w:color="000000" w:fill="FFFFFF"/>
            <w:vAlign w:val="center"/>
            <w:hideMark/>
          </w:tcPr>
          <w:p w:rsidR="005B6B0C" w:rsidRPr="006A1B86" w:rsidRDefault="005B6B0C" w:rsidP="001922F8">
            <w:pPr>
              <w:jc w:val="center"/>
              <w:rPr>
                <w:rFonts w:cs="Arial"/>
                <w:color w:val="000000"/>
                <w:sz w:val="22"/>
                <w:szCs w:val="22"/>
              </w:rPr>
            </w:pPr>
          </w:p>
        </w:tc>
      </w:tr>
      <w:tr w:rsidR="005B6B0C" w:rsidRPr="00394475" w:rsidTr="00E0754C">
        <w:trPr>
          <w:trHeight w:val="523"/>
        </w:trPr>
        <w:tc>
          <w:tcPr>
            <w:tcW w:w="2105" w:type="dxa"/>
            <w:tcBorders>
              <w:top w:val="nil"/>
              <w:left w:val="single" w:sz="8" w:space="0" w:color="auto"/>
              <w:bottom w:val="single" w:sz="8" w:space="0" w:color="auto"/>
              <w:right w:val="nil"/>
            </w:tcBorders>
            <w:shd w:val="clear" w:color="000000" w:fill="FFFFFF"/>
            <w:vAlign w:val="center"/>
            <w:hideMark/>
          </w:tcPr>
          <w:p w:rsidR="005B6B0C" w:rsidRPr="006A1B86" w:rsidRDefault="005B6B0C" w:rsidP="005B6B0C">
            <w:pPr>
              <w:rPr>
                <w:rFonts w:cs="Arial"/>
                <w:b/>
                <w:bCs/>
                <w:color w:val="000000"/>
                <w:sz w:val="22"/>
                <w:szCs w:val="22"/>
              </w:rPr>
            </w:pPr>
            <w:r w:rsidRPr="006A1B86">
              <w:rPr>
                <w:rFonts w:cs="Arial"/>
                <w:b/>
                <w:bCs/>
                <w:color w:val="000000"/>
                <w:sz w:val="22"/>
                <w:szCs w:val="22"/>
              </w:rPr>
              <w:t>Loan Debt Administered by the County Council</w:t>
            </w:r>
          </w:p>
          <w:p w:rsidR="00EC6F5B" w:rsidRPr="006A1B86" w:rsidRDefault="00EC6F5B" w:rsidP="005B6B0C">
            <w:pPr>
              <w:rPr>
                <w:rFonts w:cs="Arial"/>
                <w:b/>
                <w:bCs/>
                <w:color w:val="000000"/>
                <w:sz w:val="22"/>
                <w:szCs w:val="22"/>
              </w:rPr>
            </w:pPr>
          </w:p>
        </w:tc>
        <w:tc>
          <w:tcPr>
            <w:tcW w:w="918" w:type="dxa"/>
            <w:tcBorders>
              <w:top w:val="single" w:sz="4" w:space="0" w:color="auto"/>
              <w:left w:val="nil"/>
              <w:bottom w:val="single" w:sz="8" w:space="0" w:color="auto"/>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812.59</w:t>
            </w:r>
          </w:p>
        </w:tc>
        <w:tc>
          <w:tcPr>
            <w:tcW w:w="918" w:type="dxa"/>
            <w:tcBorders>
              <w:top w:val="single" w:sz="4" w:space="0" w:color="auto"/>
              <w:left w:val="nil"/>
              <w:bottom w:val="single" w:sz="8" w:space="0" w:color="auto"/>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100.00</w:t>
            </w:r>
          </w:p>
        </w:tc>
        <w:tc>
          <w:tcPr>
            <w:tcW w:w="1348" w:type="dxa"/>
            <w:tcBorders>
              <w:top w:val="single" w:sz="4" w:space="0" w:color="auto"/>
              <w:left w:val="nil"/>
              <w:bottom w:val="single" w:sz="8" w:space="0" w:color="auto"/>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1,259.79</w:t>
            </w:r>
          </w:p>
        </w:tc>
        <w:tc>
          <w:tcPr>
            <w:tcW w:w="1558" w:type="dxa"/>
            <w:tcBorders>
              <w:top w:val="single" w:sz="4" w:space="0" w:color="auto"/>
              <w:left w:val="nil"/>
              <w:bottom w:val="single" w:sz="8" w:space="0" w:color="auto"/>
              <w:right w:val="nil"/>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1,184.81</w:t>
            </w:r>
          </w:p>
        </w:tc>
        <w:tc>
          <w:tcPr>
            <w:tcW w:w="1103" w:type="dxa"/>
            <w:tcBorders>
              <w:top w:val="single" w:sz="4" w:space="0" w:color="auto"/>
              <w:left w:val="nil"/>
              <w:bottom w:val="single" w:sz="8" w:space="0" w:color="auto"/>
              <w:right w:val="nil"/>
            </w:tcBorders>
            <w:shd w:val="clear" w:color="000000" w:fill="FFFFFF"/>
            <w:vAlign w:val="center"/>
            <w:hideMark/>
          </w:tcPr>
          <w:p w:rsidR="005B6B0C" w:rsidRPr="006A1B86" w:rsidRDefault="00DD1FE4" w:rsidP="001922F8">
            <w:pPr>
              <w:jc w:val="center"/>
              <w:rPr>
                <w:rFonts w:cs="Arial"/>
                <w:b/>
                <w:bCs/>
                <w:color w:val="000000"/>
                <w:sz w:val="22"/>
                <w:szCs w:val="22"/>
              </w:rPr>
            </w:pPr>
            <w:r w:rsidRPr="006A1B86">
              <w:rPr>
                <w:rFonts w:cs="Arial"/>
                <w:b/>
                <w:bCs/>
                <w:color w:val="000000"/>
                <w:sz w:val="22"/>
                <w:szCs w:val="22"/>
              </w:rPr>
              <w:t>1,03</w:t>
            </w:r>
            <w:r w:rsidR="00CD2BC9" w:rsidRPr="006A1B86">
              <w:rPr>
                <w:rFonts w:cs="Arial"/>
                <w:b/>
                <w:bCs/>
                <w:color w:val="000000"/>
                <w:sz w:val="22"/>
                <w:szCs w:val="22"/>
              </w:rPr>
              <w:t>5.54</w:t>
            </w:r>
          </w:p>
        </w:tc>
        <w:tc>
          <w:tcPr>
            <w:tcW w:w="918" w:type="dxa"/>
            <w:tcBorders>
              <w:top w:val="single" w:sz="4" w:space="0" w:color="auto"/>
              <w:left w:val="nil"/>
              <w:bottom w:val="single" w:sz="8" w:space="0" w:color="auto"/>
              <w:right w:val="single" w:sz="8" w:space="0" w:color="auto"/>
            </w:tcBorders>
            <w:shd w:val="clear" w:color="000000" w:fill="FFFFFF"/>
            <w:vAlign w:val="center"/>
            <w:hideMark/>
          </w:tcPr>
          <w:p w:rsidR="005B6B0C" w:rsidRPr="006A1B86" w:rsidRDefault="005B6B0C" w:rsidP="001922F8">
            <w:pPr>
              <w:jc w:val="center"/>
              <w:rPr>
                <w:rFonts w:cs="Arial"/>
                <w:b/>
                <w:bCs/>
                <w:color w:val="000000"/>
                <w:sz w:val="22"/>
                <w:szCs w:val="22"/>
              </w:rPr>
            </w:pPr>
            <w:r w:rsidRPr="006A1B86">
              <w:rPr>
                <w:rFonts w:cs="Arial"/>
                <w:b/>
                <w:bCs/>
                <w:color w:val="000000"/>
                <w:sz w:val="22"/>
                <w:szCs w:val="22"/>
              </w:rPr>
              <w:t>100.00</w:t>
            </w:r>
          </w:p>
        </w:tc>
      </w:tr>
    </w:tbl>
    <w:p w:rsidR="00DC5123" w:rsidRDefault="002E1EA5" w:rsidP="005D21D7">
      <w:r w:rsidRPr="00394475">
        <w:t>*</w:t>
      </w:r>
      <w:r w:rsidR="00A457F8" w:rsidRPr="00394475">
        <w:t>Lender option borrower option</w:t>
      </w:r>
    </w:p>
    <w:p w:rsidR="00914F8A" w:rsidRDefault="00914F8A" w:rsidP="005D21D7"/>
    <w:p w:rsidR="00AD1155" w:rsidRPr="00394475" w:rsidRDefault="00E362C7" w:rsidP="00914F8A">
      <w:pPr>
        <w:ind w:right="-153"/>
        <w:jc w:val="both"/>
      </w:pPr>
      <w:r w:rsidRPr="00394475">
        <w:rPr>
          <w:shd w:val="clear" w:color="auto" w:fill="FFFFFF" w:themeFill="background1"/>
        </w:rPr>
        <w:t xml:space="preserve">The total loan debt administered by the </w:t>
      </w:r>
      <w:r w:rsidR="00960D8E">
        <w:rPr>
          <w:shd w:val="clear" w:color="auto" w:fill="FFFFFF" w:themeFill="background1"/>
        </w:rPr>
        <w:t>c</w:t>
      </w:r>
      <w:r w:rsidRPr="00394475">
        <w:rPr>
          <w:shd w:val="clear" w:color="auto" w:fill="FFFFFF" w:themeFill="background1"/>
        </w:rPr>
        <w:t xml:space="preserve">ounty </w:t>
      </w:r>
      <w:r w:rsidR="00960D8E">
        <w:rPr>
          <w:shd w:val="clear" w:color="auto" w:fill="FFFFFF" w:themeFill="background1"/>
        </w:rPr>
        <w:t>c</w:t>
      </w:r>
      <w:r w:rsidRPr="00394475">
        <w:rPr>
          <w:shd w:val="clear" w:color="auto" w:fill="FFFFFF" w:themeFill="background1"/>
        </w:rPr>
        <w:t xml:space="preserve">ouncil at 31 March </w:t>
      </w:r>
      <w:r w:rsidR="00CA2C96" w:rsidRPr="00394475">
        <w:rPr>
          <w:shd w:val="clear" w:color="auto" w:fill="FFFFFF" w:themeFill="background1"/>
        </w:rPr>
        <w:t>201</w:t>
      </w:r>
      <w:r w:rsidR="005B6B0C" w:rsidRPr="00394475">
        <w:rPr>
          <w:shd w:val="clear" w:color="auto" w:fill="FFFFFF" w:themeFill="background1"/>
        </w:rPr>
        <w:t>5</w:t>
      </w:r>
      <w:r w:rsidR="00CA2C96" w:rsidRPr="00394475">
        <w:rPr>
          <w:shd w:val="clear" w:color="auto" w:fill="FFFFFF" w:themeFill="background1"/>
        </w:rPr>
        <w:t xml:space="preserve"> </w:t>
      </w:r>
      <w:r w:rsidRPr="00394475">
        <w:rPr>
          <w:shd w:val="clear" w:color="auto" w:fill="FFFFFF" w:themeFill="background1"/>
        </w:rPr>
        <w:t>of £</w:t>
      </w:r>
      <w:r w:rsidR="00DD1FE4">
        <w:rPr>
          <w:shd w:val="clear" w:color="auto" w:fill="FFFFFF" w:themeFill="background1"/>
        </w:rPr>
        <w:t>1.036</w:t>
      </w:r>
      <w:r w:rsidR="00914F8A">
        <w:rPr>
          <w:shd w:val="clear" w:color="auto" w:fill="FFFFFF" w:themeFill="background1"/>
        </w:rPr>
        <w:t>bn</w:t>
      </w:r>
      <w:r w:rsidR="00F95F07" w:rsidRPr="00394475">
        <w:rPr>
          <w:shd w:val="clear" w:color="auto" w:fill="FFFFFF" w:themeFill="background1"/>
        </w:rPr>
        <w:t xml:space="preserve"> </w:t>
      </w:r>
      <w:r w:rsidRPr="00394475">
        <w:rPr>
          <w:shd w:val="clear" w:color="auto" w:fill="FFFFFF" w:themeFill="background1"/>
        </w:rPr>
        <w:t xml:space="preserve">represents mainly borrowings over the years to finance the acquisition of the </w:t>
      </w:r>
      <w:r w:rsidR="00960D8E">
        <w:rPr>
          <w:shd w:val="clear" w:color="auto" w:fill="FFFFFF" w:themeFill="background1"/>
        </w:rPr>
        <w:t>c</w:t>
      </w:r>
      <w:r w:rsidRPr="00394475">
        <w:rPr>
          <w:shd w:val="clear" w:color="auto" w:fill="FFFFFF" w:themeFill="background1"/>
        </w:rPr>
        <w:t xml:space="preserve">ounty </w:t>
      </w:r>
      <w:r w:rsidR="00960D8E">
        <w:rPr>
          <w:shd w:val="clear" w:color="auto" w:fill="FFFFFF" w:themeFill="background1"/>
        </w:rPr>
        <w:t>c</w:t>
      </w:r>
      <w:r w:rsidRPr="00394475">
        <w:rPr>
          <w:shd w:val="clear" w:color="auto" w:fill="FFFFFF" w:themeFill="background1"/>
        </w:rPr>
        <w:t xml:space="preserve">ouncil’s fixed assets, which are currently </w:t>
      </w:r>
      <w:r w:rsidRPr="0035598E">
        <w:t>valued at £</w:t>
      </w:r>
      <w:r w:rsidR="0035598E" w:rsidRPr="0035598E">
        <w:t>2.669</w:t>
      </w:r>
      <w:r w:rsidR="00EC6F5B">
        <w:t>bn</w:t>
      </w:r>
      <w:r w:rsidR="00671CDA" w:rsidRPr="00394475">
        <w:t xml:space="preserve">. </w:t>
      </w:r>
      <w:r w:rsidR="00956D16">
        <w:t xml:space="preserve">The total borrowing increase of £220m over the year is entirely due to the refinancing of the </w:t>
      </w:r>
      <w:r w:rsidR="00914F8A">
        <w:t>former W</w:t>
      </w:r>
      <w:r w:rsidR="00956D16">
        <w:t>aste PFI contract in July 2014</w:t>
      </w:r>
      <w:r w:rsidR="00CB76A7">
        <w:t xml:space="preserve"> and therefore the increased borrowing is offset by a reduction in the </w:t>
      </w:r>
      <w:r w:rsidR="00956D16">
        <w:t>council's</w:t>
      </w:r>
      <w:r w:rsidR="00CB76A7">
        <w:t xml:space="preserve"> long term </w:t>
      </w:r>
      <w:r w:rsidR="00956D16">
        <w:t xml:space="preserve">liabilities.  </w:t>
      </w:r>
    </w:p>
    <w:p w:rsidR="00FD0C52" w:rsidRPr="00394475" w:rsidRDefault="00FD0C52" w:rsidP="00FD0C52">
      <w:pPr>
        <w:spacing w:line="276" w:lineRule="auto"/>
        <w:jc w:val="both"/>
      </w:pPr>
    </w:p>
    <w:p w:rsidR="00FD0C52" w:rsidRPr="002F4C6D" w:rsidRDefault="00FD0C52" w:rsidP="002F4C6D">
      <w:pPr>
        <w:jc w:val="both"/>
        <w:rPr>
          <w:rFonts w:cs="Arial"/>
          <w:szCs w:val="24"/>
        </w:rPr>
      </w:pPr>
      <w:r w:rsidRPr="002F4C6D">
        <w:rPr>
          <w:rFonts w:cs="Arial"/>
          <w:szCs w:val="24"/>
        </w:rPr>
        <w:t xml:space="preserve">With short-term interest rates having remained much lower than long-term rates, it was more cost effective to borrow short-term loans from the market, mainly from other local authorities.  By doing so, the </w:t>
      </w:r>
      <w:r w:rsidR="000F1A22" w:rsidRPr="002F4C6D">
        <w:rPr>
          <w:rFonts w:cs="Arial"/>
          <w:szCs w:val="24"/>
        </w:rPr>
        <w:t>Council</w:t>
      </w:r>
      <w:r w:rsidRPr="002F4C6D">
        <w:rPr>
          <w:rFonts w:cs="Arial"/>
          <w:szCs w:val="24"/>
        </w:rPr>
        <w:t xml:space="preserve"> was able to </w:t>
      </w:r>
      <w:r w:rsidR="006E2470" w:rsidRPr="002F4C6D">
        <w:rPr>
          <w:rFonts w:cs="Arial"/>
          <w:szCs w:val="24"/>
        </w:rPr>
        <w:t xml:space="preserve">keep </w:t>
      </w:r>
      <w:r w:rsidRPr="002F4C6D">
        <w:rPr>
          <w:rFonts w:cs="Arial"/>
          <w:szCs w:val="24"/>
        </w:rPr>
        <w:t xml:space="preserve">borrowing costs </w:t>
      </w:r>
      <w:r w:rsidR="006E2470" w:rsidRPr="002F4C6D">
        <w:rPr>
          <w:rFonts w:cs="Arial"/>
          <w:szCs w:val="24"/>
        </w:rPr>
        <w:t xml:space="preserve">low </w:t>
      </w:r>
      <w:r w:rsidRPr="002F4C6D">
        <w:rPr>
          <w:rFonts w:cs="Arial"/>
          <w:szCs w:val="24"/>
        </w:rPr>
        <w:t xml:space="preserve">and reduce overall treasury risk. Whilst such a strategy is most likely to be beneficial over the next </w:t>
      </w:r>
      <w:r w:rsidR="002A5898" w:rsidRPr="002F4C6D">
        <w:rPr>
          <w:rFonts w:cs="Arial"/>
          <w:szCs w:val="24"/>
        </w:rPr>
        <w:t>year</w:t>
      </w:r>
      <w:r w:rsidRPr="002F4C6D">
        <w:rPr>
          <w:rFonts w:cs="Arial"/>
          <w:szCs w:val="24"/>
        </w:rPr>
        <w:t xml:space="preserve"> as official interest rates remain low, it is unlikely to b</w:t>
      </w:r>
      <w:r w:rsidR="00836C5C">
        <w:rPr>
          <w:rFonts w:cs="Arial"/>
          <w:szCs w:val="24"/>
        </w:rPr>
        <w:t>e sustained in the medium-term.</w:t>
      </w:r>
    </w:p>
    <w:p w:rsidR="00FD0C52" w:rsidRPr="002F4C6D" w:rsidRDefault="00FD0C52" w:rsidP="002F4C6D">
      <w:pPr>
        <w:jc w:val="both"/>
        <w:rPr>
          <w:rFonts w:cs="Arial"/>
          <w:szCs w:val="24"/>
        </w:rPr>
      </w:pPr>
    </w:p>
    <w:p w:rsidR="00FD0C52" w:rsidRPr="002F4C6D" w:rsidRDefault="00FD0C52" w:rsidP="002F4C6D">
      <w:pPr>
        <w:jc w:val="both"/>
        <w:rPr>
          <w:rFonts w:cs="Arial"/>
          <w:szCs w:val="24"/>
        </w:rPr>
      </w:pPr>
      <w:r w:rsidRPr="002F4C6D">
        <w:rPr>
          <w:rFonts w:cs="Arial"/>
          <w:szCs w:val="24"/>
        </w:rPr>
        <w:t xml:space="preserve">The </w:t>
      </w:r>
      <w:r w:rsidR="002872C2">
        <w:rPr>
          <w:rFonts w:cs="Arial"/>
          <w:szCs w:val="24"/>
        </w:rPr>
        <w:t>Interim Director of Financial Resources</w:t>
      </w:r>
      <w:r w:rsidRPr="002F4C6D">
        <w:rPr>
          <w:rFonts w:cs="Arial"/>
          <w:szCs w:val="24"/>
        </w:rPr>
        <w:t xml:space="preserve"> will</w:t>
      </w:r>
      <w:r w:rsidR="00D64066" w:rsidRPr="002F4C6D">
        <w:rPr>
          <w:rFonts w:cs="Arial"/>
          <w:szCs w:val="24"/>
        </w:rPr>
        <w:t xml:space="preserve">, in conjunction with </w:t>
      </w:r>
      <w:proofErr w:type="spellStart"/>
      <w:r w:rsidR="00D64066" w:rsidRPr="002F4C6D">
        <w:rPr>
          <w:rFonts w:cs="Arial"/>
          <w:szCs w:val="24"/>
        </w:rPr>
        <w:t>Arlingclose</w:t>
      </w:r>
      <w:proofErr w:type="spellEnd"/>
      <w:r w:rsidR="00D64066" w:rsidRPr="002F4C6D">
        <w:rPr>
          <w:rFonts w:cs="Arial"/>
          <w:szCs w:val="24"/>
        </w:rPr>
        <w:t>,</w:t>
      </w:r>
      <w:r w:rsidRPr="002F4C6D">
        <w:rPr>
          <w:rFonts w:cs="Arial"/>
          <w:szCs w:val="24"/>
        </w:rPr>
        <w:t xml:space="preserve"> continue to closely monitor interest rate forecasts in order to establish when long term interest rates might be expected to rise</w:t>
      </w:r>
      <w:r w:rsidR="00836C5C">
        <w:rPr>
          <w:rFonts w:cs="Arial"/>
          <w:szCs w:val="24"/>
        </w:rPr>
        <w:t xml:space="preserve"> and adapt its strategy accordingly</w:t>
      </w:r>
      <w:r w:rsidRPr="002F4C6D">
        <w:rPr>
          <w:rFonts w:cs="Arial"/>
          <w:szCs w:val="24"/>
        </w:rPr>
        <w:t xml:space="preserve">.  </w:t>
      </w:r>
    </w:p>
    <w:p w:rsidR="00FD0C52" w:rsidRPr="002F4C6D" w:rsidRDefault="00FD0C52" w:rsidP="002F4C6D">
      <w:pPr>
        <w:jc w:val="both"/>
        <w:rPr>
          <w:rFonts w:cs="Arial"/>
          <w:szCs w:val="24"/>
        </w:rPr>
      </w:pPr>
    </w:p>
    <w:p w:rsidR="00E25281" w:rsidRPr="002F4C6D" w:rsidRDefault="00E25281" w:rsidP="002F4C6D">
      <w:pPr>
        <w:jc w:val="both"/>
        <w:rPr>
          <w:rFonts w:cs="Arial"/>
          <w:szCs w:val="24"/>
        </w:rPr>
      </w:pPr>
      <w:r w:rsidRPr="002F4C6D">
        <w:rPr>
          <w:rFonts w:cs="Arial"/>
          <w:szCs w:val="24"/>
        </w:rPr>
        <w:t xml:space="preserve">Overall the average rate of interest paid in </w:t>
      </w:r>
      <w:r w:rsidRPr="002F4C6D">
        <w:rPr>
          <w:rFonts w:cs="Arial"/>
          <w:caps/>
          <w:szCs w:val="24"/>
        </w:rPr>
        <w:t>201</w:t>
      </w:r>
      <w:r w:rsidR="002A5898" w:rsidRPr="002F4C6D">
        <w:rPr>
          <w:rFonts w:cs="Arial"/>
          <w:caps/>
          <w:szCs w:val="24"/>
        </w:rPr>
        <w:t>4</w:t>
      </w:r>
      <w:r w:rsidR="00E40463" w:rsidRPr="002F4C6D">
        <w:rPr>
          <w:rFonts w:cs="Arial"/>
          <w:caps/>
          <w:szCs w:val="24"/>
        </w:rPr>
        <w:t>/1</w:t>
      </w:r>
      <w:r w:rsidR="002A5898" w:rsidRPr="002F4C6D">
        <w:rPr>
          <w:rFonts w:cs="Arial"/>
          <w:caps/>
          <w:szCs w:val="24"/>
        </w:rPr>
        <w:t>5</w:t>
      </w:r>
      <w:r w:rsidRPr="002F4C6D">
        <w:rPr>
          <w:rFonts w:cs="Arial"/>
          <w:szCs w:val="24"/>
        </w:rPr>
        <w:t xml:space="preserve"> on the debt administe</w:t>
      </w:r>
      <w:r w:rsidR="00F50691" w:rsidRPr="002F4C6D">
        <w:rPr>
          <w:rFonts w:cs="Arial"/>
          <w:szCs w:val="24"/>
        </w:rPr>
        <w:t>red by the County Council was 2.</w:t>
      </w:r>
      <w:r w:rsidR="00871581" w:rsidRPr="002F4C6D">
        <w:rPr>
          <w:rFonts w:cs="Arial"/>
          <w:szCs w:val="24"/>
        </w:rPr>
        <w:t>0</w:t>
      </w:r>
      <w:r w:rsidR="00824036">
        <w:rPr>
          <w:rFonts w:cs="Arial"/>
          <w:szCs w:val="24"/>
        </w:rPr>
        <w:t>5</w:t>
      </w:r>
      <w:r w:rsidRPr="002F4C6D">
        <w:rPr>
          <w:rFonts w:cs="Arial"/>
          <w:szCs w:val="24"/>
        </w:rPr>
        <w:t xml:space="preserve">% per annum compared with an average rate of </w:t>
      </w:r>
      <w:r w:rsidR="002A5898" w:rsidRPr="002F4C6D">
        <w:rPr>
          <w:rFonts w:cs="Arial"/>
          <w:szCs w:val="24"/>
        </w:rPr>
        <w:t>2.48% in 2013/14</w:t>
      </w:r>
      <w:r w:rsidR="00BD7A65" w:rsidRPr="002F4C6D">
        <w:rPr>
          <w:rFonts w:cs="Arial"/>
          <w:szCs w:val="24"/>
        </w:rPr>
        <w:t xml:space="preserve">, </w:t>
      </w:r>
      <w:r w:rsidR="002A5898" w:rsidRPr="002F4C6D">
        <w:rPr>
          <w:rFonts w:cs="Arial"/>
          <w:szCs w:val="24"/>
        </w:rPr>
        <w:t xml:space="preserve"> 2.45% in 2012/13</w:t>
      </w:r>
      <w:r w:rsidR="008E68E7" w:rsidRPr="002F4C6D">
        <w:rPr>
          <w:rFonts w:cs="Arial"/>
          <w:szCs w:val="24"/>
        </w:rPr>
        <w:t xml:space="preserve"> and </w:t>
      </w:r>
      <w:r w:rsidR="002A5898" w:rsidRPr="002F4C6D">
        <w:rPr>
          <w:rFonts w:cs="Arial"/>
          <w:szCs w:val="24"/>
        </w:rPr>
        <w:t>2.11</w:t>
      </w:r>
      <w:r w:rsidRPr="002F4C6D">
        <w:rPr>
          <w:rFonts w:cs="Arial"/>
          <w:szCs w:val="24"/>
        </w:rPr>
        <w:t>% in 20</w:t>
      </w:r>
      <w:r w:rsidR="002A5898" w:rsidRPr="002F4C6D">
        <w:rPr>
          <w:rFonts w:cs="Arial"/>
          <w:szCs w:val="24"/>
        </w:rPr>
        <w:t>11/12</w:t>
      </w:r>
    </w:p>
    <w:p w:rsidR="00B8395C" w:rsidRPr="002F4C6D" w:rsidRDefault="00B8395C" w:rsidP="002F4C6D">
      <w:pPr>
        <w:jc w:val="both"/>
        <w:rPr>
          <w:rFonts w:cs="Arial"/>
          <w:szCs w:val="24"/>
        </w:rPr>
      </w:pPr>
    </w:p>
    <w:p w:rsidR="00C502CF" w:rsidRDefault="00C502CF" w:rsidP="002F4C6D">
      <w:pPr>
        <w:jc w:val="both"/>
        <w:rPr>
          <w:rFonts w:cs="Arial"/>
          <w:szCs w:val="24"/>
        </w:rPr>
      </w:pPr>
      <w:r w:rsidRPr="002F4C6D">
        <w:rPr>
          <w:rFonts w:cs="Arial"/>
          <w:szCs w:val="24"/>
        </w:rPr>
        <w:t>The chart</w:t>
      </w:r>
      <w:r w:rsidR="002E16B0" w:rsidRPr="002F4C6D">
        <w:rPr>
          <w:rFonts w:cs="Arial"/>
          <w:szCs w:val="24"/>
        </w:rPr>
        <w:t>s</w:t>
      </w:r>
      <w:r w:rsidRPr="002F4C6D">
        <w:rPr>
          <w:rFonts w:cs="Arial"/>
          <w:szCs w:val="24"/>
        </w:rPr>
        <w:t xml:space="preserve"> below show the </w:t>
      </w:r>
      <w:r w:rsidR="00D624C8" w:rsidRPr="002F4C6D">
        <w:rPr>
          <w:rFonts w:cs="Arial"/>
          <w:szCs w:val="24"/>
        </w:rPr>
        <w:t xml:space="preserve">maturity </w:t>
      </w:r>
      <w:r w:rsidR="002E16B0" w:rsidRPr="002F4C6D">
        <w:rPr>
          <w:rFonts w:cs="Arial"/>
          <w:szCs w:val="24"/>
        </w:rPr>
        <w:t xml:space="preserve">and portfolio profiles </w:t>
      </w:r>
      <w:r w:rsidR="00D624C8" w:rsidRPr="002F4C6D">
        <w:rPr>
          <w:rFonts w:cs="Arial"/>
          <w:szCs w:val="24"/>
        </w:rPr>
        <w:t>of the County Council's debt</w:t>
      </w:r>
      <w:r w:rsidR="00345FB0" w:rsidRPr="002F4C6D">
        <w:rPr>
          <w:rFonts w:cs="Arial"/>
          <w:szCs w:val="24"/>
        </w:rPr>
        <w:t xml:space="preserve"> as at 31 March 2015</w:t>
      </w:r>
      <w:r w:rsidR="00D624C8" w:rsidRPr="002F4C6D">
        <w:rPr>
          <w:rFonts w:cs="Arial"/>
          <w:szCs w:val="24"/>
        </w:rPr>
        <w:t>.</w:t>
      </w:r>
    </w:p>
    <w:p w:rsidR="00C13C4A" w:rsidRPr="002F4C6D" w:rsidRDefault="00C13C4A" w:rsidP="002F4C6D">
      <w:pPr>
        <w:jc w:val="both"/>
        <w:rPr>
          <w:rFonts w:cs="Arial"/>
          <w:szCs w:val="24"/>
        </w:rPr>
      </w:pPr>
    </w:p>
    <w:p w:rsidR="00394475" w:rsidRDefault="00C13C4A" w:rsidP="00E362C7">
      <w:pPr>
        <w:rPr>
          <w:noProof/>
          <w:highlight w:val="yellow"/>
        </w:rPr>
      </w:pPr>
      <w:r w:rsidRPr="00C13C4A">
        <w:rPr>
          <w:noProof/>
        </w:rPr>
        <w:t xml:space="preserve"> </w:t>
      </w:r>
      <w:r>
        <w:rPr>
          <w:noProof/>
        </w:rPr>
        <w:drawing>
          <wp:inline distT="0" distB="0" distL="0" distR="0" wp14:anchorId="075A24E6" wp14:editId="0F401B5F">
            <wp:extent cx="5568950" cy="3068320"/>
            <wp:effectExtent l="0" t="0" r="1270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4475" w:rsidRDefault="00394475" w:rsidP="00E362C7">
      <w:pPr>
        <w:rPr>
          <w:noProof/>
          <w:highlight w:val="yellow"/>
        </w:rPr>
      </w:pPr>
    </w:p>
    <w:p w:rsidR="00394475" w:rsidRDefault="0096339C" w:rsidP="00E362C7">
      <w:pPr>
        <w:rPr>
          <w:highlight w:val="yellow"/>
        </w:rPr>
      </w:pPr>
      <w:r>
        <w:rPr>
          <w:noProof/>
        </w:rPr>
        <w:drawing>
          <wp:inline distT="0" distB="0" distL="0" distR="0" wp14:anchorId="0196BC8C" wp14:editId="0ECC01AE">
            <wp:extent cx="5607170" cy="324294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4475" w:rsidRDefault="00394475" w:rsidP="00E362C7">
      <w:pPr>
        <w:rPr>
          <w:highlight w:val="yellow"/>
        </w:rPr>
      </w:pPr>
    </w:p>
    <w:p w:rsidR="00350F5C" w:rsidRPr="002872C2" w:rsidRDefault="002872C2" w:rsidP="00E362C7">
      <w:pPr>
        <w:rPr>
          <w:sz w:val="20"/>
        </w:rPr>
      </w:pPr>
      <w:r>
        <w:rPr>
          <w:sz w:val="20"/>
        </w:rPr>
        <w:t xml:space="preserve">NOTE: </w:t>
      </w:r>
      <w:r w:rsidRPr="002872C2">
        <w:rPr>
          <w:sz w:val="20"/>
        </w:rPr>
        <w:t>PCC &amp; CFA</w:t>
      </w:r>
      <w:r>
        <w:rPr>
          <w:sz w:val="20"/>
        </w:rPr>
        <w:t xml:space="preserve"> – Lancashire Police &amp; Crime Commissioner and Combined Fire Authority</w:t>
      </w:r>
      <w:r w:rsidR="00F053D5">
        <w:rPr>
          <w:sz w:val="20"/>
        </w:rPr>
        <w:t>.</w:t>
      </w:r>
    </w:p>
    <w:p w:rsidR="002E3FEF" w:rsidRDefault="002E3FEF">
      <w:pPr>
        <w:rPr>
          <w:b/>
          <w:highlight w:val="yellow"/>
        </w:rPr>
      </w:pPr>
      <w:r>
        <w:rPr>
          <w:b/>
          <w:highlight w:val="yellow"/>
        </w:rPr>
        <w:br w:type="page"/>
      </w:r>
    </w:p>
    <w:p w:rsidR="00E362C7" w:rsidRPr="002F4C6D" w:rsidRDefault="00F26B74" w:rsidP="002F4C6D">
      <w:pPr>
        <w:jc w:val="both"/>
        <w:rPr>
          <w:rFonts w:cs="Arial"/>
          <w:b/>
          <w:szCs w:val="24"/>
        </w:rPr>
      </w:pPr>
      <w:r>
        <w:rPr>
          <w:rFonts w:cs="Arial"/>
          <w:b/>
          <w:szCs w:val="24"/>
        </w:rPr>
        <w:t xml:space="preserve">5.3 </w:t>
      </w:r>
      <w:r w:rsidR="00E362C7" w:rsidRPr="002F4C6D">
        <w:rPr>
          <w:rFonts w:cs="Arial"/>
          <w:b/>
          <w:szCs w:val="24"/>
        </w:rPr>
        <w:t>Investment</w:t>
      </w:r>
      <w:r w:rsidR="00222490" w:rsidRPr="002F4C6D">
        <w:rPr>
          <w:rFonts w:cs="Arial"/>
          <w:b/>
          <w:szCs w:val="24"/>
        </w:rPr>
        <w:t xml:space="preserve"> Activity</w:t>
      </w:r>
    </w:p>
    <w:p w:rsidR="001876A9" w:rsidRPr="002F4C6D" w:rsidRDefault="001876A9" w:rsidP="002F4C6D">
      <w:pPr>
        <w:jc w:val="both"/>
        <w:rPr>
          <w:rFonts w:cs="Arial"/>
          <w:szCs w:val="24"/>
        </w:rPr>
      </w:pPr>
    </w:p>
    <w:p w:rsidR="008B6CAA" w:rsidRDefault="001453CE" w:rsidP="00516DB3">
      <w:pPr>
        <w:jc w:val="both"/>
        <w:rPr>
          <w:rFonts w:cs="Arial"/>
          <w:szCs w:val="24"/>
        </w:rPr>
      </w:pPr>
      <w:r w:rsidRPr="002F4C6D">
        <w:rPr>
          <w:rFonts w:cs="Arial"/>
          <w:szCs w:val="24"/>
        </w:rPr>
        <w:t xml:space="preserve">The total amount of investments </w:t>
      </w:r>
      <w:r w:rsidR="00E06E8C" w:rsidRPr="002F4C6D">
        <w:rPr>
          <w:rFonts w:cs="Arial"/>
          <w:szCs w:val="24"/>
        </w:rPr>
        <w:t>(</w:t>
      </w:r>
      <w:r w:rsidR="002339EF" w:rsidRPr="002F4C6D">
        <w:rPr>
          <w:rFonts w:cs="Arial"/>
          <w:szCs w:val="24"/>
        </w:rPr>
        <w:t>excluding</w:t>
      </w:r>
      <w:r w:rsidR="00FB2308" w:rsidRPr="002F4C6D">
        <w:rPr>
          <w:rFonts w:cs="Arial"/>
          <w:szCs w:val="24"/>
        </w:rPr>
        <w:t xml:space="preserve"> </w:t>
      </w:r>
      <w:r w:rsidR="00E06E8C" w:rsidRPr="002F4C6D">
        <w:rPr>
          <w:rFonts w:cs="Arial"/>
          <w:szCs w:val="24"/>
        </w:rPr>
        <w:t>fair value</w:t>
      </w:r>
      <w:r w:rsidR="002339EF" w:rsidRPr="002F4C6D">
        <w:rPr>
          <w:rFonts w:cs="Arial"/>
          <w:szCs w:val="24"/>
        </w:rPr>
        <w:t xml:space="preserve"> adjustment</w:t>
      </w:r>
      <w:r w:rsidR="00E06E8C" w:rsidRPr="002F4C6D">
        <w:rPr>
          <w:rFonts w:cs="Arial"/>
          <w:szCs w:val="24"/>
        </w:rPr>
        <w:t xml:space="preserve">) </w:t>
      </w:r>
      <w:r w:rsidRPr="002F4C6D">
        <w:rPr>
          <w:rFonts w:cs="Arial"/>
          <w:szCs w:val="24"/>
        </w:rPr>
        <w:t>held by Lancashire County Council at 31</w:t>
      </w:r>
      <w:r w:rsidR="00836C5C">
        <w:rPr>
          <w:rFonts w:cs="Arial"/>
          <w:szCs w:val="24"/>
          <w:vertAlign w:val="superscript"/>
        </w:rPr>
        <w:t xml:space="preserve"> </w:t>
      </w:r>
      <w:r w:rsidRPr="002F4C6D">
        <w:rPr>
          <w:rFonts w:cs="Arial"/>
          <w:szCs w:val="24"/>
        </w:rPr>
        <w:t>March 201</w:t>
      </w:r>
      <w:r w:rsidR="00960D8E" w:rsidRPr="002F4C6D">
        <w:rPr>
          <w:rFonts w:cs="Arial"/>
          <w:szCs w:val="24"/>
        </w:rPr>
        <w:t>5</w:t>
      </w:r>
      <w:r w:rsidRPr="002F4C6D">
        <w:rPr>
          <w:rFonts w:cs="Arial"/>
          <w:szCs w:val="24"/>
        </w:rPr>
        <w:t xml:space="preserve"> is £</w:t>
      </w:r>
      <w:r w:rsidR="00950620" w:rsidRPr="002F4C6D">
        <w:rPr>
          <w:rFonts w:cs="Arial"/>
          <w:szCs w:val="24"/>
        </w:rPr>
        <w:t>6</w:t>
      </w:r>
      <w:r w:rsidR="0096339C" w:rsidRPr="002F4C6D">
        <w:rPr>
          <w:rFonts w:cs="Arial"/>
          <w:szCs w:val="24"/>
        </w:rPr>
        <w:t xml:space="preserve">36.57m </w:t>
      </w:r>
      <w:r w:rsidR="00394475" w:rsidRPr="002F4C6D">
        <w:rPr>
          <w:rFonts w:cs="Arial"/>
          <w:szCs w:val="24"/>
        </w:rPr>
        <w:t>including £107.25</w:t>
      </w:r>
      <w:r w:rsidR="006808DD" w:rsidRPr="002F4C6D">
        <w:rPr>
          <w:rFonts w:cs="Arial"/>
          <w:szCs w:val="24"/>
        </w:rPr>
        <w:t>m of cash and cash equivalents</w:t>
      </w:r>
      <w:r w:rsidRPr="002F4C6D">
        <w:rPr>
          <w:rFonts w:cs="Arial"/>
          <w:szCs w:val="24"/>
        </w:rPr>
        <w:t xml:space="preserve">. </w:t>
      </w:r>
      <w:r w:rsidR="008F3C20" w:rsidRPr="002F4C6D">
        <w:rPr>
          <w:rFonts w:cs="Arial"/>
          <w:szCs w:val="24"/>
        </w:rPr>
        <w:t xml:space="preserve"> </w:t>
      </w:r>
      <w:r w:rsidR="00516DB3">
        <w:rPr>
          <w:rFonts w:cs="Arial"/>
          <w:szCs w:val="24"/>
        </w:rPr>
        <w:t>The chart</w:t>
      </w:r>
      <w:r w:rsidRPr="002F4C6D">
        <w:rPr>
          <w:rFonts w:cs="Arial"/>
          <w:szCs w:val="24"/>
        </w:rPr>
        <w:t xml:space="preserve"> below shows the asset classes and the proportion of investments held in each class. </w:t>
      </w:r>
    </w:p>
    <w:p w:rsidR="00725A8E" w:rsidRPr="002F4C6D" w:rsidRDefault="00725A8E" w:rsidP="00516DB3">
      <w:pPr>
        <w:jc w:val="both"/>
        <w:rPr>
          <w:rFonts w:cs="Arial"/>
          <w:szCs w:val="24"/>
        </w:rPr>
      </w:pPr>
    </w:p>
    <w:p w:rsidR="00516DB3" w:rsidRDefault="00CA3B15" w:rsidP="00E362C7">
      <w:pPr>
        <w:rPr>
          <w:highlight w:val="yellow"/>
        </w:rPr>
      </w:pPr>
      <w:r w:rsidRPr="00CA3B15">
        <w:rPr>
          <w:rFonts w:ascii="Trebuchet MS" w:hAnsi="Trebuchet MS"/>
          <w:noProof/>
          <w:color w:val="1F497D"/>
          <w:sz w:val="20"/>
        </w:rPr>
        <w:drawing>
          <wp:inline distT="0" distB="0" distL="0" distR="0" wp14:anchorId="50C438EB" wp14:editId="1BB338EA">
            <wp:extent cx="5727688" cy="4582342"/>
            <wp:effectExtent l="0" t="0" r="6985" b="8890"/>
            <wp:docPr id="3" name="Picture 3" descr="cid:image003.png@01D0A1CF.67A8C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0A1CF.67A8C3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99669" cy="4639929"/>
                    </a:xfrm>
                    <a:prstGeom prst="rect">
                      <a:avLst/>
                    </a:prstGeom>
                    <a:noFill/>
                    <a:ln>
                      <a:noFill/>
                    </a:ln>
                  </pic:spPr>
                </pic:pic>
              </a:graphicData>
            </a:graphic>
          </wp:inline>
        </w:drawing>
      </w:r>
    </w:p>
    <w:p w:rsidR="00FB6F0F" w:rsidRDefault="00FB6F0F" w:rsidP="00E362C7">
      <w:pPr>
        <w:rPr>
          <w:highlight w:val="yellow"/>
        </w:rPr>
      </w:pPr>
    </w:p>
    <w:p w:rsidR="002E3FEF" w:rsidRDefault="00B8282A">
      <w:pPr>
        <w:rPr>
          <w:rFonts w:cs="Arial"/>
          <w:sz w:val="20"/>
        </w:rPr>
      </w:pPr>
      <w:r>
        <w:rPr>
          <w:rFonts w:cs="Arial"/>
          <w:sz w:val="20"/>
        </w:rPr>
        <w:t>NOTE: FRN – Floating Rate Note</w:t>
      </w:r>
      <w:r w:rsidR="00F053D5">
        <w:rPr>
          <w:rFonts w:cs="Arial"/>
          <w:sz w:val="20"/>
        </w:rPr>
        <w:t>.</w:t>
      </w:r>
    </w:p>
    <w:p w:rsidR="00B8282A" w:rsidRPr="00B8282A" w:rsidRDefault="00B8282A">
      <w:pPr>
        <w:rPr>
          <w:rFonts w:cs="Arial"/>
          <w:szCs w:val="24"/>
        </w:rPr>
      </w:pPr>
    </w:p>
    <w:p w:rsidR="00B8282A" w:rsidRPr="00B8282A" w:rsidRDefault="00B8282A">
      <w:pPr>
        <w:rPr>
          <w:rFonts w:cs="Arial"/>
          <w:szCs w:val="24"/>
        </w:rPr>
      </w:pPr>
      <w:r>
        <w:rPr>
          <w:rFonts w:cs="Arial"/>
          <w:szCs w:val="24"/>
        </w:rPr>
        <w:t>The portfolio is developed in line with risk management, credit rating and maturity profiles as discussed below.</w:t>
      </w:r>
    </w:p>
    <w:p w:rsidR="00D665FD" w:rsidRDefault="00D665FD">
      <w:pPr>
        <w:rPr>
          <w:b/>
          <w:szCs w:val="24"/>
        </w:rPr>
      </w:pPr>
      <w:r>
        <w:rPr>
          <w:b/>
          <w:szCs w:val="24"/>
        </w:rPr>
        <w:br w:type="page"/>
      </w:r>
    </w:p>
    <w:p w:rsidR="00A16D71" w:rsidRDefault="00A16D71" w:rsidP="00A16D71">
      <w:pPr>
        <w:ind w:right="-153"/>
        <w:rPr>
          <w:b/>
          <w:szCs w:val="24"/>
        </w:rPr>
      </w:pPr>
      <w:r>
        <w:rPr>
          <w:b/>
          <w:szCs w:val="24"/>
        </w:rPr>
        <w:t xml:space="preserve">5.3.1 </w:t>
      </w:r>
      <w:r w:rsidRPr="00953488">
        <w:rPr>
          <w:b/>
          <w:szCs w:val="24"/>
        </w:rPr>
        <w:t>Total Investments analysed by credit rating</w:t>
      </w:r>
    </w:p>
    <w:p w:rsidR="00A16D71" w:rsidRDefault="00A16D71" w:rsidP="00A16D71">
      <w:pPr>
        <w:ind w:right="-153"/>
        <w:rPr>
          <w:b/>
          <w:szCs w:val="24"/>
        </w:rPr>
      </w:pPr>
    </w:p>
    <w:p w:rsidR="00A16D71" w:rsidRPr="002F4C6D" w:rsidRDefault="00A16D71" w:rsidP="00A16D71">
      <w:pPr>
        <w:jc w:val="both"/>
        <w:rPr>
          <w:rFonts w:cs="Arial"/>
          <w:szCs w:val="24"/>
        </w:rPr>
      </w:pPr>
      <w:r w:rsidRPr="002F4C6D">
        <w:rPr>
          <w:rFonts w:cs="Arial"/>
          <w:szCs w:val="24"/>
        </w:rPr>
        <w:t>Security of capital remained the Council’s main investment objective.  This was maintained by following the Council’s counterparty policy as set out in its Treasury Management Strategy Statement for 2014/15. This defined “high credit quality” organisations as those having a minimum long-term credit rating of A+</w:t>
      </w:r>
      <w:r>
        <w:rPr>
          <w:rFonts w:cs="Arial"/>
          <w:szCs w:val="24"/>
        </w:rPr>
        <w:t>.</w:t>
      </w:r>
      <w:r w:rsidRPr="002F4C6D">
        <w:rPr>
          <w:rFonts w:cs="Arial"/>
          <w:szCs w:val="24"/>
        </w:rPr>
        <w:t xml:space="preserve"> In practice the</w:t>
      </w:r>
      <w:r>
        <w:rPr>
          <w:rFonts w:cs="Arial"/>
          <w:szCs w:val="24"/>
        </w:rPr>
        <w:t xml:space="preserve"> Council continued to monitor the credit quality of its counter parties and the</w:t>
      </w:r>
      <w:r w:rsidRPr="002F4C6D">
        <w:rPr>
          <w:rFonts w:cs="Arial"/>
          <w:szCs w:val="24"/>
        </w:rPr>
        <w:t xml:space="preserve"> average credit rating in 2014/15 </w:t>
      </w:r>
      <w:r>
        <w:rPr>
          <w:rFonts w:cs="Arial"/>
          <w:szCs w:val="24"/>
        </w:rPr>
        <w:t>was AA which is higher than the A+. Details are shown in the chart below.</w:t>
      </w:r>
    </w:p>
    <w:p w:rsidR="00A16D71" w:rsidRDefault="00FB6F0F" w:rsidP="00A16D71">
      <w:pPr>
        <w:ind w:right="-153"/>
        <w:rPr>
          <w:b/>
          <w:sz w:val="32"/>
          <w:szCs w:val="32"/>
          <w:highlight w:val="yellow"/>
        </w:rPr>
      </w:pPr>
      <w:r>
        <w:rPr>
          <w:noProof/>
        </w:rPr>
        <w:drawing>
          <wp:inline distT="0" distB="0" distL="0" distR="0" wp14:anchorId="1D8E3F57" wp14:editId="46A65216">
            <wp:extent cx="5745192" cy="5381625"/>
            <wp:effectExtent l="0" t="0" r="825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587" cy="5391362"/>
                    </a:xfrm>
                    <a:prstGeom prst="rect">
                      <a:avLst/>
                    </a:prstGeom>
                    <a:noFill/>
                    <a:ln>
                      <a:noFill/>
                    </a:ln>
                    <a:effectLst/>
                    <a:extLst/>
                  </pic:spPr>
                </pic:pic>
              </a:graphicData>
            </a:graphic>
          </wp:inline>
        </w:drawing>
      </w:r>
    </w:p>
    <w:p w:rsidR="00FB6F0F" w:rsidRDefault="00FB6F0F" w:rsidP="00A16D71">
      <w:pPr>
        <w:ind w:right="-153"/>
        <w:rPr>
          <w:b/>
          <w:sz w:val="32"/>
          <w:szCs w:val="32"/>
          <w:highlight w:val="yellow"/>
        </w:rPr>
      </w:pPr>
    </w:p>
    <w:p w:rsidR="005B0757" w:rsidRDefault="005B0757">
      <w:pPr>
        <w:rPr>
          <w:b/>
          <w:sz w:val="32"/>
          <w:szCs w:val="32"/>
          <w:highlight w:val="yellow"/>
        </w:rPr>
      </w:pPr>
      <w:r>
        <w:rPr>
          <w:b/>
          <w:sz w:val="32"/>
          <w:szCs w:val="32"/>
          <w:highlight w:val="yellow"/>
        </w:rPr>
        <w:br w:type="page"/>
      </w:r>
    </w:p>
    <w:p w:rsidR="00FB6F0F" w:rsidRPr="0040093B" w:rsidRDefault="00FB6F0F" w:rsidP="00A16D71">
      <w:pPr>
        <w:ind w:right="-153"/>
        <w:rPr>
          <w:b/>
          <w:sz w:val="32"/>
          <w:szCs w:val="32"/>
          <w:highlight w:val="yellow"/>
        </w:rPr>
      </w:pPr>
    </w:p>
    <w:p w:rsidR="002E3FEF" w:rsidRDefault="002E3FEF" w:rsidP="002E3FEF">
      <w:pPr>
        <w:jc w:val="both"/>
        <w:rPr>
          <w:rFonts w:cs="Arial"/>
          <w:szCs w:val="24"/>
        </w:rPr>
      </w:pPr>
      <w:r>
        <w:rPr>
          <w:rFonts w:cs="Arial"/>
          <w:szCs w:val="24"/>
        </w:rPr>
        <w:t>As part of the risk management policy, t</w:t>
      </w:r>
      <w:r w:rsidRPr="002F4C6D">
        <w:rPr>
          <w:rFonts w:cs="Arial"/>
          <w:szCs w:val="24"/>
        </w:rPr>
        <w:t xml:space="preserve">he </w:t>
      </w:r>
      <w:r>
        <w:rPr>
          <w:rFonts w:cs="Arial"/>
          <w:szCs w:val="24"/>
        </w:rPr>
        <w:t>C</w:t>
      </w:r>
      <w:r w:rsidRPr="002F4C6D">
        <w:rPr>
          <w:rFonts w:cs="Arial"/>
          <w:szCs w:val="24"/>
        </w:rPr>
        <w:t>ouncil has been moving away from unsecured bank de</w:t>
      </w:r>
      <w:r>
        <w:rPr>
          <w:rFonts w:cs="Arial"/>
          <w:szCs w:val="24"/>
        </w:rPr>
        <w:t>posits as an asset class a</w:t>
      </w:r>
      <w:r w:rsidRPr="002F4C6D">
        <w:rPr>
          <w:rFonts w:cs="Arial"/>
          <w:szCs w:val="24"/>
        </w:rPr>
        <w:t>nd apart from on call balances they no longer form an allowable investment class under the 2015/16 treasury policy.</w:t>
      </w:r>
    </w:p>
    <w:p w:rsidR="002E3FEF" w:rsidRDefault="002E3FEF" w:rsidP="00FD5777">
      <w:pPr>
        <w:ind w:right="-153"/>
        <w:jc w:val="both"/>
        <w:rPr>
          <w:rFonts w:cs="Arial"/>
          <w:szCs w:val="24"/>
        </w:rPr>
      </w:pPr>
    </w:p>
    <w:p w:rsidR="00A16D71" w:rsidRDefault="00F053D5" w:rsidP="00FD5777">
      <w:pPr>
        <w:ind w:right="-153"/>
        <w:jc w:val="both"/>
        <w:rPr>
          <w:rFonts w:cs="Arial"/>
          <w:szCs w:val="24"/>
        </w:rPr>
      </w:pPr>
      <w:r>
        <w:rPr>
          <w:rFonts w:cs="Arial"/>
          <w:szCs w:val="24"/>
        </w:rPr>
        <w:t xml:space="preserve">Sovereign credit risk is monitored by reference </w:t>
      </w:r>
      <w:r w:rsidR="00A16D71">
        <w:rPr>
          <w:rFonts w:cs="Arial"/>
          <w:szCs w:val="24"/>
        </w:rPr>
        <w:t>to the country in which investment</w:t>
      </w:r>
      <w:r>
        <w:rPr>
          <w:rFonts w:cs="Arial"/>
          <w:szCs w:val="24"/>
        </w:rPr>
        <w:t xml:space="preserve"> counterparties are domiciled</w:t>
      </w:r>
      <w:r w:rsidR="00A16D71">
        <w:rPr>
          <w:rFonts w:cs="Arial"/>
          <w:szCs w:val="24"/>
        </w:rPr>
        <w:t>. The chart below shows the investments analysed by country.</w:t>
      </w:r>
    </w:p>
    <w:p w:rsidR="00A16D71" w:rsidRDefault="00A16D71" w:rsidP="00FD5777">
      <w:pPr>
        <w:ind w:right="-153"/>
        <w:jc w:val="both"/>
        <w:rPr>
          <w:rFonts w:cs="Arial"/>
          <w:szCs w:val="24"/>
        </w:rPr>
      </w:pPr>
    </w:p>
    <w:p w:rsidR="00725A8E" w:rsidRDefault="00725A8E" w:rsidP="00FD5777">
      <w:pPr>
        <w:ind w:right="-153"/>
        <w:jc w:val="both"/>
        <w:rPr>
          <w:rFonts w:cs="Arial"/>
          <w:szCs w:val="24"/>
        </w:rPr>
      </w:pPr>
      <w:r>
        <w:rPr>
          <w:noProof/>
        </w:rPr>
        <w:drawing>
          <wp:inline distT="0" distB="0" distL="0" distR="0" wp14:anchorId="6AB422A8" wp14:editId="4C0D3342">
            <wp:extent cx="5732145" cy="4775006"/>
            <wp:effectExtent l="0" t="0" r="1905" b="6985"/>
            <wp:docPr id="409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4775006"/>
                    </a:xfrm>
                    <a:prstGeom prst="rect">
                      <a:avLst/>
                    </a:prstGeom>
                    <a:noFill/>
                    <a:ln>
                      <a:noFill/>
                    </a:ln>
                    <a:effectLst/>
                    <a:extLst/>
                  </pic:spPr>
                </pic:pic>
              </a:graphicData>
            </a:graphic>
          </wp:inline>
        </w:drawing>
      </w:r>
    </w:p>
    <w:p w:rsidR="00725A8E" w:rsidRDefault="00725A8E" w:rsidP="00FD5777">
      <w:pPr>
        <w:ind w:right="-153"/>
        <w:jc w:val="both"/>
        <w:rPr>
          <w:rFonts w:cs="Arial"/>
          <w:szCs w:val="24"/>
        </w:rPr>
      </w:pPr>
    </w:p>
    <w:p w:rsidR="00725A8E" w:rsidRPr="00725A8E" w:rsidRDefault="00725A8E" w:rsidP="00FD5777">
      <w:pPr>
        <w:ind w:right="-153"/>
        <w:jc w:val="both"/>
        <w:rPr>
          <w:rFonts w:cs="Arial"/>
          <w:sz w:val="20"/>
        </w:rPr>
      </w:pPr>
      <w:r w:rsidRPr="00725A8E">
        <w:rPr>
          <w:rFonts w:cs="Arial"/>
          <w:sz w:val="20"/>
        </w:rPr>
        <w:t>NOTE: MMF – Money Market Fund</w:t>
      </w:r>
      <w:r w:rsidR="00D278F5">
        <w:rPr>
          <w:rFonts w:cs="Arial"/>
          <w:sz w:val="20"/>
        </w:rPr>
        <w:t xml:space="preserve"> – which is invested in various countries</w:t>
      </w:r>
      <w:r w:rsidR="00F053D5">
        <w:rPr>
          <w:rFonts w:cs="Arial"/>
          <w:sz w:val="20"/>
        </w:rPr>
        <w:t>.</w:t>
      </w:r>
    </w:p>
    <w:p w:rsidR="00725A8E" w:rsidRDefault="00725A8E" w:rsidP="00FD5777">
      <w:pPr>
        <w:ind w:right="-153"/>
        <w:jc w:val="both"/>
        <w:rPr>
          <w:rFonts w:cs="Arial"/>
          <w:szCs w:val="24"/>
        </w:rPr>
      </w:pPr>
    </w:p>
    <w:p w:rsidR="00725A8E" w:rsidRDefault="00725A8E" w:rsidP="00FD5777">
      <w:pPr>
        <w:ind w:right="-153"/>
        <w:jc w:val="both"/>
        <w:rPr>
          <w:rFonts w:cs="Arial"/>
          <w:szCs w:val="24"/>
        </w:rPr>
      </w:pPr>
    </w:p>
    <w:p w:rsidR="00725A8E" w:rsidRDefault="00725A8E" w:rsidP="00FD5777">
      <w:pPr>
        <w:ind w:right="-153"/>
        <w:jc w:val="both"/>
        <w:rPr>
          <w:rFonts w:cs="Arial"/>
          <w:szCs w:val="24"/>
        </w:rPr>
      </w:pPr>
    </w:p>
    <w:p w:rsidR="00725A8E" w:rsidRDefault="00725A8E" w:rsidP="00FD5777">
      <w:pPr>
        <w:ind w:right="-153"/>
        <w:jc w:val="both"/>
        <w:rPr>
          <w:rFonts w:cs="Arial"/>
          <w:szCs w:val="24"/>
        </w:rPr>
      </w:pPr>
    </w:p>
    <w:p w:rsidR="005B0757" w:rsidRDefault="005B0757" w:rsidP="00FD5777">
      <w:pPr>
        <w:ind w:right="-153"/>
        <w:jc w:val="both"/>
        <w:rPr>
          <w:rFonts w:cs="Arial"/>
          <w:szCs w:val="24"/>
        </w:rPr>
      </w:pPr>
    </w:p>
    <w:p w:rsidR="00A16D71" w:rsidRPr="00A16D71" w:rsidRDefault="00A16D71" w:rsidP="00FD5777">
      <w:pPr>
        <w:ind w:right="-153"/>
        <w:jc w:val="both"/>
        <w:rPr>
          <w:rFonts w:cs="Arial"/>
          <w:szCs w:val="24"/>
        </w:rPr>
      </w:pPr>
    </w:p>
    <w:p w:rsidR="00FD5777" w:rsidRPr="002F4C6D" w:rsidRDefault="002E3FEF" w:rsidP="00D665FD">
      <w:pPr>
        <w:rPr>
          <w:rFonts w:cs="Arial"/>
          <w:b/>
          <w:szCs w:val="24"/>
        </w:rPr>
      </w:pPr>
      <w:r>
        <w:rPr>
          <w:rFonts w:cs="Arial"/>
          <w:b/>
          <w:szCs w:val="24"/>
        </w:rPr>
        <w:br w:type="page"/>
      </w:r>
      <w:r w:rsidR="00FD5777">
        <w:rPr>
          <w:rFonts w:cs="Arial"/>
          <w:b/>
          <w:szCs w:val="24"/>
        </w:rPr>
        <w:t xml:space="preserve">5.3.2 </w:t>
      </w:r>
      <w:r w:rsidR="00FD5777" w:rsidRPr="002F4C6D">
        <w:rPr>
          <w:rFonts w:cs="Arial"/>
          <w:b/>
          <w:szCs w:val="24"/>
        </w:rPr>
        <w:t xml:space="preserve">Investments by Maturity </w:t>
      </w:r>
    </w:p>
    <w:p w:rsidR="00FD5777" w:rsidRDefault="00FD5777" w:rsidP="00E362C7">
      <w:pPr>
        <w:rPr>
          <w:noProof/>
          <w:sz w:val="20"/>
          <w:highlight w:val="yellow"/>
        </w:rPr>
      </w:pPr>
    </w:p>
    <w:p w:rsidR="00E362C7" w:rsidRPr="002F4C6D" w:rsidRDefault="00C21314" w:rsidP="002F4C6D">
      <w:pPr>
        <w:jc w:val="both"/>
        <w:rPr>
          <w:rFonts w:cs="Arial"/>
          <w:szCs w:val="24"/>
        </w:rPr>
      </w:pPr>
      <w:r w:rsidRPr="002F4C6D">
        <w:rPr>
          <w:rFonts w:cs="Arial"/>
          <w:szCs w:val="24"/>
        </w:rPr>
        <w:t xml:space="preserve">The </w:t>
      </w:r>
      <w:r w:rsidR="001453CE" w:rsidRPr="002F4C6D">
        <w:rPr>
          <w:rFonts w:cs="Arial"/>
          <w:szCs w:val="24"/>
        </w:rPr>
        <w:t xml:space="preserve">table below shows a maturity analysis of the portfolio </w:t>
      </w:r>
      <w:r w:rsidR="00EC6F5B">
        <w:rPr>
          <w:rFonts w:cs="Arial"/>
          <w:szCs w:val="24"/>
        </w:rPr>
        <w:t xml:space="preserve">as </w:t>
      </w:r>
      <w:r w:rsidR="00836C5C">
        <w:rPr>
          <w:rFonts w:cs="Arial"/>
          <w:szCs w:val="24"/>
        </w:rPr>
        <w:t>at 31</w:t>
      </w:r>
      <w:r w:rsidR="00046E67" w:rsidRPr="002F4C6D">
        <w:rPr>
          <w:rFonts w:cs="Arial"/>
          <w:szCs w:val="24"/>
        </w:rPr>
        <w:t xml:space="preserve"> March 201</w:t>
      </w:r>
      <w:r w:rsidR="00960D8E" w:rsidRPr="002F4C6D">
        <w:rPr>
          <w:rFonts w:cs="Arial"/>
          <w:szCs w:val="24"/>
        </w:rPr>
        <w:t>5</w:t>
      </w:r>
      <w:r w:rsidR="00046E67" w:rsidRPr="002F4C6D">
        <w:rPr>
          <w:rFonts w:cs="Arial"/>
          <w:szCs w:val="24"/>
        </w:rPr>
        <w:t xml:space="preserve">, </w:t>
      </w:r>
      <w:r w:rsidR="001453CE" w:rsidRPr="002F4C6D">
        <w:rPr>
          <w:rFonts w:cs="Arial"/>
          <w:szCs w:val="24"/>
        </w:rPr>
        <w:t xml:space="preserve">alongside the </w:t>
      </w:r>
      <w:r w:rsidR="00046E67" w:rsidRPr="002F4C6D">
        <w:rPr>
          <w:rFonts w:cs="Arial"/>
          <w:szCs w:val="24"/>
        </w:rPr>
        <w:t xml:space="preserve">average </w:t>
      </w:r>
      <w:r w:rsidR="001453CE" w:rsidRPr="002F4C6D">
        <w:rPr>
          <w:rFonts w:cs="Arial"/>
          <w:szCs w:val="24"/>
        </w:rPr>
        <w:t>interest rate</w:t>
      </w:r>
      <w:r w:rsidR="00046E67" w:rsidRPr="002F4C6D">
        <w:rPr>
          <w:rFonts w:cs="Arial"/>
          <w:szCs w:val="24"/>
        </w:rPr>
        <w:t xml:space="preserve"> earned over the 201</w:t>
      </w:r>
      <w:r w:rsidR="00EF4F9F" w:rsidRPr="002F4C6D">
        <w:rPr>
          <w:rFonts w:cs="Arial"/>
          <w:szCs w:val="24"/>
        </w:rPr>
        <w:t>4</w:t>
      </w:r>
      <w:r w:rsidR="00D60FB3" w:rsidRPr="002F4C6D">
        <w:rPr>
          <w:rFonts w:cs="Arial"/>
          <w:szCs w:val="24"/>
        </w:rPr>
        <w:t>/</w:t>
      </w:r>
      <w:r w:rsidR="00046E67" w:rsidRPr="002F4C6D">
        <w:rPr>
          <w:rFonts w:cs="Arial"/>
          <w:szCs w:val="24"/>
        </w:rPr>
        <w:t>1</w:t>
      </w:r>
      <w:r w:rsidR="00C87132" w:rsidRPr="002F4C6D">
        <w:rPr>
          <w:rFonts w:cs="Arial"/>
          <w:szCs w:val="24"/>
        </w:rPr>
        <w:t xml:space="preserve">5 </w:t>
      </w:r>
      <w:r w:rsidR="00046E67" w:rsidRPr="002F4C6D">
        <w:rPr>
          <w:rFonts w:cs="Arial"/>
          <w:szCs w:val="24"/>
        </w:rPr>
        <w:t>financial year.</w:t>
      </w:r>
    </w:p>
    <w:p w:rsidR="001453CE" w:rsidRPr="002F4C6D" w:rsidRDefault="001453CE" w:rsidP="002F4C6D">
      <w:pPr>
        <w:ind w:right="-153"/>
        <w:jc w:val="both"/>
        <w:rPr>
          <w:rFonts w:cs="Arial"/>
          <w:b/>
          <w:szCs w:val="24"/>
          <w:highlight w:val="yellow"/>
        </w:rPr>
      </w:pPr>
    </w:p>
    <w:tbl>
      <w:tblPr>
        <w:tblW w:w="8975" w:type="dxa"/>
        <w:tblInd w:w="87" w:type="dxa"/>
        <w:tblLook w:val="04A0" w:firstRow="1" w:lastRow="0" w:firstColumn="1" w:lastColumn="0" w:noHBand="0" w:noVBand="1"/>
      </w:tblPr>
      <w:tblGrid>
        <w:gridCol w:w="4865"/>
        <w:gridCol w:w="2126"/>
        <w:gridCol w:w="1984"/>
      </w:tblGrid>
      <w:tr w:rsidR="00D857E5" w:rsidRPr="002F4C6D" w:rsidTr="00E0754C">
        <w:trPr>
          <w:trHeight w:val="334"/>
        </w:trPr>
        <w:tc>
          <w:tcPr>
            <w:tcW w:w="4865" w:type="dxa"/>
            <w:tcBorders>
              <w:top w:val="single" w:sz="8" w:space="0" w:color="000000"/>
              <w:left w:val="single" w:sz="8" w:space="0" w:color="000000"/>
              <w:bottom w:val="single" w:sz="8" w:space="0" w:color="000000"/>
              <w:right w:val="single" w:sz="8" w:space="0" w:color="000000"/>
            </w:tcBorders>
            <w:noWrap/>
            <w:hideMark/>
          </w:tcPr>
          <w:p w:rsidR="00EC6F5B" w:rsidRDefault="00EC6F5B" w:rsidP="00EC6F5B">
            <w:pPr>
              <w:jc w:val="center"/>
              <w:rPr>
                <w:rFonts w:cs="Arial"/>
                <w:b/>
                <w:bCs/>
                <w:color w:val="000000"/>
                <w:szCs w:val="24"/>
              </w:rPr>
            </w:pPr>
          </w:p>
          <w:p w:rsidR="00D857E5" w:rsidRPr="002F4C6D" w:rsidRDefault="00D857E5" w:rsidP="00EC6F5B">
            <w:pPr>
              <w:jc w:val="center"/>
              <w:rPr>
                <w:rFonts w:cs="Arial"/>
                <w:b/>
                <w:bCs/>
                <w:color w:val="000000"/>
                <w:szCs w:val="24"/>
              </w:rPr>
            </w:pPr>
            <w:r w:rsidRPr="002F4C6D">
              <w:rPr>
                <w:rFonts w:cs="Arial"/>
                <w:b/>
                <w:bCs/>
                <w:color w:val="000000"/>
                <w:szCs w:val="24"/>
              </w:rPr>
              <w:t>Maturity Range</w:t>
            </w:r>
          </w:p>
        </w:tc>
        <w:tc>
          <w:tcPr>
            <w:tcW w:w="2126" w:type="dxa"/>
            <w:tcBorders>
              <w:top w:val="single" w:sz="8" w:space="0" w:color="000000"/>
              <w:left w:val="nil"/>
              <w:bottom w:val="single" w:sz="8" w:space="0" w:color="000000"/>
              <w:right w:val="nil"/>
            </w:tcBorders>
            <w:noWrap/>
            <w:hideMark/>
          </w:tcPr>
          <w:p w:rsidR="001B4947" w:rsidRDefault="001B4947" w:rsidP="001B4947">
            <w:pPr>
              <w:jc w:val="center"/>
              <w:rPr>
                <w:rFonts w:cs="Arial"/>
                <w:b/>
                <w:bCs/>
                <w:color w:val="000000"/>
                <w:szCs w:val="24"/>
              </w:rPr>
            </w:pPr>
            <w:r>
              <w:rPr>
                <w:rFonts w:cs="Arial"/>
                <w:b/>
                <w:bCs/>
                <w:color w:val="000000"/>
                <w:szCs w:val="24"/>
              </w:rPr>
              <w:t>Amount</w:t>
            </w:r>
            <w:r w:rsidR="00EC6F5B">
              <w:rPr>
                <w:rFonts w:cs="Arial"/>
                <w:b/>
                <w:bCs/>
                <w:color w:val="000000"/>
                <w:szCs w:val="24"/>
              </w:rPr>
              <w:t xml:space="preserve"> as at</w:t>
            </w:r>
          </w:p>
          <w:p w:rsidR="001B4947" w:rsidRDefault="00FF1303" w:rsidP="001B4947">
            <w:pPr>
              <w:jc w:val="center"/>
              <w:rPr>
                <w:rFonts w:cs="Arial"/>
                <w:b/>
                <w:bCs/>
                <w:color w:val="000000"/>
                <w:szCs w:val="24"/>
              </w:rPr>
            </w:pPr>
            <w:r w:rsidRPr="002F4C6D">
              <w:rPr>
                <w:rFonts w:cs="Arial"/>
                <w:b/>
                <w:bCs/>
                <w:color w:val="000000"/>
                <w:szCs w:val="24"/>
              </w:rPr>
              <w:t>31</w:t>
            </w:r>
            <w:r w:rsidR="001B4947">
              <w:rPr>
                <w:rFonts w:cs="Arial"/>
                <w:b/>
                <w:bCs/>
                <w:color w:val="000000"/>
                <w:szCs w:val="24"/>
              </w:rPr>
              <w:t xml:space="preserve"> March 2015</w:t>
            </w:r>
          </w:p>
          <w:p w:rsidR="00D857E5" w:rsidRPr="002F4C6D" w:rsidRDefault="00D857E5" w:rsidP="001B4947">
            <w:pPr>
              <w:jc w:val="center"/>
              <w:rPr>
                <w:rFonts w:cs="Arial"/>
                <w:b/>
                <w:bCs/>
                <w:color w:val="000000"/>
                <w:szCs w:val="24"/>
              </w:rPr>
            </w:pPr>
            <w:r w:rsidRPr="002F4C6D">
              <w:rPr>
                <w:rFonts w:cs="Arial"/>
                <w:b/>
                <w:bCs/>
                <w:color w:val="000000"/>
                <w:szCs w:val="24"/>
              </w:rPr>
              <w:t xml:space="preserve"> £m</w:t>
            </w:r>
          </w:p>
        </w:tc>
        <w:tc>
          <w:tcPr>
            <w:tcW w:w="1984" w:type="dxa"/>
            <w:tcBorders>
              <w:top w:val="single" w:sz="8" w:space="0" w:color="auto"/>
              <w:left w:val="single" w:sz="8" w:space="0" w:color="auto"/>
              <w:bottom w:val="single" w:sz="8" w:space="0" w:color="000000"/>
              <w:right w:val="single" w:sz="8" w:space="0" w:color="auto"/>
            </w:tcBorders>
            <w:noWrap/>
            <w:hideMark/>
          </w:tcPr>
          <w:p w:rsidR="001B4947" w:rsidRDefault="00D857E5" w:rsidP="002F4C6D">
            <w:pPr>
              <w:jc w:val="center"/>
              <w:rPr>
                <w:rFonts w:cs="Arial"/>
                <w:b/>
                <w:bCs/>
                <w:color w:val="000000"/>
                <w:szCs w:val="24"/>
              </w:rPr>
            </w:pPr>
            <w:r w:rsidRPr="002F4C6D">
              <w:rPr>
                <w:rFonts w:cs="Arial"/>
                <w:b/>
                <w:bCs/>
                <w:color w:val="000000"/>
                <w:szCs w:val="24"/>
              </w:rPr>
              <w:t>Average Rate</w:t>
            </w:r>
            <w:r w:rsidR="00FF1303" w:rsidRPr="002F4C6D">
              <w:rPr>
                <w:rFonts w:cs="Arial"/>
                <w:b/>
                <w:bCs/>
                <w:color w:val="000000"/>
                <w:szCs w:val="24"/>
              </w:rPr>
              <w:t xml:space="preserve"> </w:t>
            </w:r>
            <w:r w:rsidR="001B4947">
              <w:rPr>
                <w:rFonts w:cs="Arial"/>
                <w:b/>
                <w:bCs/>
                <w:color w:val="000000"/>
                <w:szCs w:val="24"/>
              </w:rPr>
              <w:t>20</w:t>
            </w:r>
            <w:r w:rsidR="00FF1303" w:rsidRPr="002F4C6D">
              <w:rPr>
                <w:rFonts w:cs="Arial"/>
                <w:b/>
                <w:bCs/>
                <w:color w:val="000000"/>
                <w:szCs w:val="24"/>
              </w:rPr>
              <w:t>14/15</w:t>
            </w:r>
          </w:p>
          <w:p w:rsidR="00D857E5" w:rsidRPr="002F4C6D" w:rsidRDefault="00FF1303" w:rsidP="002F4C6D">
            <w:pPr>
              <w:jc w:val="center"/>
              <w:rPr>
                <w:rFonts w:cs="Arial"/>
                <w:b/>
                <w:bCs/>
                <w:color w:val="000000"/>
                <w:szCs w:val="24"/>
              </w:rPr>
            </w:pPr>
            <w:r w:rsidRPr="002F4C6D">
              <w:rPr>
                <w:rFonts w:cs="Arial"/>
                <w:b/>
                <w:bCs/>
                <w:color w:val="000000"/>
                <w:szCs w:val="24"/>
              </w:rPr>
              <w:t xml:space="preserve"> </w:t>
            </w:r>
            <w:r w:rsidR="00D857E5" w:rsidRPr="002F4C6D">
              <w:rPr>
                <w:rFonts w:cs="Arial"/>
                <w:b/>
                <w:bCs/>
                <w:color w:val="000000"/>
                <w:szCs w:val="24"/>
              </w:rPr>
              <w:t>%</w:t>
            </w:r>
          </w:p>
        </w:tc>
      </w:tr>
      <w:tr w:rsidR="00D857E5" w:rsidRPr="002F4C6D" w:rsidTr="00E0754C">
        <w:trPr>
          <w:trHeight w:val="334"/>
        </w:trPr>
        <w:tc>
          <w:tcPr>
            <w:tcW w:w="4865" w:type="dxa"/>
            <w:tcBorders>
              <w:top w:val="single" w:sz="8" w:space="0" w:color="000000"/>
              <w:left w:val="single" w:sz="8" w:space="0" w:color="000000"/>
              <w:bottom w:val="single" w:sz="8" w:space="0" w:color="000000"/>
              <w:right w:val="single" w:sz="8" w:space="0" w:color="000000"/>
            </w:tcBorders>
            <w:noWrap/>
            <w:hideMark/>
          </w:tcPr>
          <w:p w:rsidR="00D857E5" w:rsidRPr="002F4C6D" w:rsidRDefault="00D857E5" w:rsidP="002F4C6D">
            <w:pPr>
              <w:jc w:val="both"/>
              <w:rPr>
                <w:rFonts w:cs="Arial"/>
                <w:color w:val="000000"/>
                <w:szCs w:val="24"/>
              </w:rPr>
            </w:pPr>
            <w:r w:rsidRPr="002F4C6D">
              <w:rPr>
                <w:rFonts w:cs="Arial"/>
                <w:color w:val="000000"/>
                <w:szCs w:val="24"/>
              </w:rPr>
              <w:t>Call, M</w:t>
            </w:r>
            <w:r w:rsidR="007333C9" w:rsidRPr="002F4C6D">
              <w:rPr>
                <w:rFonts w:cs="Arial"/>
                <w:color w:val="000000"/>
                <w:szCs w:val="24"/>
              </w:rPr>
              <w:t xml:space="preserve">oney </w:t>
            </w:r>
            <w:r w:rsidRPr="002F4C6D">
              <w:rPr>
                <w:rFonts w:cs="Arial"/>
                <w:color w:val="000000"/>
                <w:szCs w:val="24"/>
              </w:rPr>
              <w:t>M</w:t>
            </w:r>
            <w:r w:rsidR="007333C9" w:rsidRPr="002F4C6D">
              <w:rPr>
                <w:rFonts w:cs="Arial"/>
                <w:color w:val="000000"/>
                <w:szCs w:val="24"/>
              </w:rPr>
              <w:t xml:space="preserve">arket </w:t>
            </w:r>
            <w:r w:rsidRPr="002F4C6D">
              <w:rPr>
                <w:rFonts w:cs="Arial"/>
                <w:color w:val="000000"/>
                <w:szCs w:val="24"/>
              </w:rPr>
              <w:t>F</w:t>
            </w:r>
            <w:r w:rsidR="007333C9" w:rsidRPr="002F4C6D">
              <w:rPr>
                <w:rFonts w:cs="Arial"/>
                <w:color w:val="000000"/>
                <w:szCs w:val="24"/>
              </w:rPr>
              <w:t>unds</w:t>
            </w:r>
            <w:r w:rsidRPr="002F4C6D">
              <w:rPr>
                <w:rFonts w:cs="Arial"/>
                <w:color w:val="000000"/>
                <w:szCs w:val="24"/>
              </w:rPr>
              <w:t xml:space="preserve"> &amp; Under 1yr</w:t>
            </w:r>
          </w:p>
        </w:tc>
        <w:tc>
          <w:tcPr>
            <w:tcW w:w="2126" w:type="dxa"/>
            <w:tcBorders>
              <w:top w:val="single" w:sz="8" w:space="0" w:color="000000"/>
              <w:left w:val="nil"/>
              <w:bottom w:val="single" w:sz="8" w:space="0" w:color="000000"/>
              <w:right w:val="nil"/>
            </w:tcBorders>
            <w:noWrap/>
            <w:hideMark/>
          </w:tcPr>
          <w:p w:rsidR="00D857E5" w:rsidRPr="002F4C6D" w:rsidRDefault="009425B2" w:rsidP="002F4C6D">
            <w:pPr>
              <w:jc w:val="center"/>
              <w:rPr>
                <w:rFonts w:cs="Arial"/>
                <w:color w:val="000000"/>
                <w:szCs w:val="24"/>
              </w:rPr>
            </w:pPr>
            <w:r w:rsidRPr="002F4C6D">
              <w:rPr>
                <w:rFonts w:cs="Arial"/>
                <w:color w:val="000000"/>
                <w:szCs w:val="24"/>
              </w:rPr>
              <w:t>181.71</w:t>
            </w:r>
          </w:p>
        </w:tc>
        <w:tc>
          <w:tcPr>
            <w:tcW w:w="1984" w:type="dxa"/>
            <w:tcBorders>
              <w:top w:val="single" w:sz="8" w:space="0" w:color="000000"/>
              <w:left w:val="single" w:sz="8" w:space="0" w:color="auto"/>
              <w:bottom w:val="single" w:sz="8" w:space="0" w:color="000000"/>
              <w:right w:val="single" w:sz="8" w:space="0" w:color="auto"/>
            </w:tcBorders>
            <w:noWrap/>
            <w:hideMark/>
          </w:tcPr>
          <w:p w:rsidR="00D857E5" w:rsidRPr="002F4C6D" w:rsidRDefault="00FF1303" w:rsidP="002F4C6D">
            <w:pPr>
              <w:jc w:val="center"/>
              <w:rPr>
                <w:rFonts w:cs="Arial"/>
                <w:color w:val="000000"/>
                <w:szCs w:val="24"/>
              </w:rPr>
            </w:pPr>
            <w:r w:rsidRPr="002F4C6D">
              <w:rPr>
                <w:rFonts w:cs="Arial"/>
                <w:color w:val="000000"/>
                <w:szCs w:val="24"/>
              </w:rPr>
              <w:t>1.43</w:t>
            </w:r>
          </w:p>
        </w:tc>
      </w:tr>
      <w:tr w:rsidR="002A19AE" w:rsidRPr="002F4C6D" w:rsidTr="00E0754C">
        <w:trPr>
          <w:trHeight w:val="334"/>
        </w:trPr>
        <w:tc>
          <w:tcPr>
            <w:tcW w:w="4865" w:type="dxa"/>
            <w:tcBorders>
              <w:top w:val="single" w:sz="8" w:space="0" w:color="000000"/>
              <w:left w:val="single" w:sz="8" w:space="0" w:color="000000"/>
              <w:bottom w:val="single" w:sz="8" w:space="0" w:color="000000"/>
              <w:right w:val="single" w:sz="8" w:space="0" w:color="000000"/>
            </w:tcBorders>
            <w:noWrap/>
            <w:hideMark/>
          </w:tcPr>
          <w:p w:rsidR="002A19AE" w:rsidRPr="002F4C6D" w:rsidRDefault="002A19AE" w:rsidP="002F4C6D">
            <w:pPr>
              <w:jc w:val="both"/>
              <w:rPr>
                <w:rFonts w:cs="Arial"/>
                <w:color w:val="000000"/>
                <w:szCs w:val="24"/>
              </w:rPr>
            </w:pPr>
            <w:r w:rsidRPr="002F4C6D">
              <w:rPr>
                <w:rFonts w:cs="Arial"/>
                <w:color w:val="000000"/>
                <w:szCs w:val="24"/>
              </w:rPr>
              <w:t>Bank Deposit 1-2 Years</w:t>
            </w:r>
          </w:p>
        </w:tc>
        <w:tc>
          <w:tcPr>
            <w:tcW w:w="2126" w:type="dxa"/>
            <w:tcBorders>
              <w:top w:val="single" w:sz="8" w:space="0" w:color="000000"/>
              <w:left w:val="nil"/>
              <w:bottom w:val="single" w:sz="8" w:space="0" w:color="000000"/>
              <w:right w:val="nil"/>
            </w:tcBorders>
            <w:noWrap/>
            <w:hideMark/>
          </w:tcPr>
          <w:p w:rsidR="002A19AE" w:rsidRPr="002F4C6D" w:rsidRDefault="002A19AE" w:rsidP="002F4C6D">
            <w:pPr>
              <w:jc w:val="center"/>
              <w:rPr>
                <w:rFonts w:cs="Arial"/>
                <w:color w:val="000000"/>
                <w:szCs w:val="24"/>
              </w:rPr>
            </w:pPr>
            <w:r w:rsidRPr="002F4C6D">
              <w:rPr>
                <w:rFonts w:cs="Arial"/>
                <w:color w:val="000000"/>
                <w:szCs w:val="24"/>
              </w:rPr>
              <w:t>10.00</w:t>
            </w:r>
          </w:p>
        </w:tc>
        <w:tc>
          <w:tcPr>
            <w:tcW w:w="1984" w:type="dxa"/>
            <w:tcBorders>
              <w:top w:val="single" w:sz="8" w:space="0" w:color="000000"/>
              <w:left w:val="single" w:sz="8" w:space="0" w:color="auto"/>
              <w:bottom w:val="single" w:sz="8" w:space="0" w:color="000000"/>
              <w:right w:val="single" w:sz="8" w:space="0" w:color="auto"/>
            </w:tcBorders>
            <w:noWrap/>
            <w:hideMark/>
          </w:tcPr>
          <w:p w:rsidR="002A19AE" w:rsidRPr="002F4C6D" w:rsidRDefault="002A19AE" w:rsidP="002F4C6D">
            <w:pPr>
              <w:jc w:val="center"/>
              <w:rPr>
                <w:rFonts w:cs="Arial"/>
                <w:color w:val="000000"/>
                <w:szCs w:val="24"/>
              </w:rPr>
            </w:pPr>
            <w:r w:rsidRPr="002F4C6D">
              <w:rPr>
                <w:rFonts w:cs="Arial"/>
                <w:color w:val="000000"/>
                <w:szCs w:val="24"/>
              </w:rPr>
              <w:t>1.00</w:t>
            </w:r>
          </w:p>
        </w:tc>
      </w:tr>
      <w:tr w:rsidR="00D857E5" w:rsidRPr="002F4C6D" w:rsidTr="00E0754C">
        <w:trPr>
          <w:trHeight w:val="334"/>
        </w:trPr>
        <w:tc>
          <w:tcPr>
            <w:tcW w:w="4865" w:type="dxa"/>
            <w:tcBorders>
              <w:top w:val="single" w:sz="8" w:space="0" w:color="000000"/>
              <w:left w:val="single" w:sz="8" w:space="0" w:color="000000"/>
              <w:bottom w:val="single" w:sz="8" w:space="0" w:color="000000"/>
              <w:right w:val="single" w:sz="8" w:space="0" w:color="000000"/>
            </w:tcBorders>
            <w:noWrap/>
            <w:hideMark/>
          </w:tcPr>
          <w:p w:rsidR="00D857E5" w:rsidRPr="002F4C6D" w:rsidRDefault="0043457E" w:rsidP="002F4C6D">
            <w:pPr>
              <w:jc w:val="both"/>
              <w:rPr>
                <w:rFonts w:cs="Arial"/>
                <w:color w:val="000000"/>
                <w:szCs w:val="24"/>
              </w:rPr>
            </w:pPr>
            <w:r w:rsidRPr="002F4C6D">
              <w:rPr>
                <w:rFonts w:cs="Arial"/>
                <w:color w:val="000000"/>
                <w:szCs w:val="24"/>
              </w:rPr>
              <w:t xml:space="preserve">Bank </w:t>
            </w:r>
            <w:r w:rsidR="00C83B85" w:rsidRPr="002F4C6D">
              <w:rPr>
                <w:rFonts w:cs="Arial"/>
                <w:color w:val="000000"/>
                <w:szCs w:val="24"/>
              </w:rPr>
              <w:t xml:space="preserve">&amp; Local Authority </w:t>
            </w:r>
            <w:r w:rsidRPr="002F4C6D">
              <w:rPr>
                <w:rFonts w:cs="Arial"/>
                <w:color w:val="000000"/>
                <w:szCs w:val="24"/>
              </w:rPr>
              <w:t>Deposit</w:t>
            </w:r>
            <w:r w:rsidR="00C83B85" w:rsidRPr="002F4C6D">
              <w:rPr>
                <w:rFonts w:cs="Arial"/>
                <w:color w:val="000000"/>
                <w:szCs w:val="24"/>
              </w:rPr>
              <w:t>s</w:t>
            </w:r>
            <w:r w:rsidRPr="002F4C6D">
              <w:rPr>
                <w:rFonts w:cs="Arial"/>
                <w:color w:val="000000"/>
                <w:szCs w:val="24"/>
              </w:rPr>
              <w:t xml:space="preserve"> </w:t>
            </w:r>
            <w:r w:rsidR="00D857E5" w:rsidRPr="002F4C6D">
              <w:rPr>
                <w:rFonts w:cs="Arial"/>
                <w:color w:val="000000"/>
                <w:szCs w:val="24"/>
              </w:rPr>
              <w:t>3-5 Years</w:t>
            </w:r>
          </w:p>
        </w:tc>
        <w:tc>
          <w:tcPr>
            <w:tcW w:w="2126" w:type="dxa"/>
            <w:tcBorders>
              <w:top w:val="single" w:sz="8" w:space="0" w:color="000000"/>
              <w:left w:val="nil"/>
              <w:bottom w:val="single" w:sz="8" w:space="0" w:color="000000"/>
              <w:right w:val="nil"/>
            </w:tcBorders>
            <w:noWrap/>
            <w:hideMark/>
          </w:tcPr>
          <w:p w:rsidR="00D857E5" w:rsidRPr="002F4C6D" w:rsidRDefault="00534AA2" w:rsidP="002F4C6D">
            <w:pPr>
              <w:jc w:val="center"/>
              <w:rPr>
                <w:rFonts w:cs="Arial"/>
                <w:color w:val="000000"/>
                <w:szCs w:val="24"/>
              </w:rPr>
            </w:pPr>
            <w:r w:rsidRPr="002F4C6D">
              <w:rPr>
                <w:rFonts w:cs="Arial"/>
                <w:color w:val="000000"/>
                <w:szCs w:val="24"/>
              </w:rPr>
              <w:t>36.50</w:t>
            </w:r>
          </w:p>
        </w:tc>
        <w:tc>
          <w:tcPr>
            <w:tcW w:w="1984" w:type="dxa"/>
            <w:tcBorders>
              <w:top w:val="single" w:sz="8" w:space="0" w:color="000000"/>
              <w:left w:val="single" w:sz="8" w:space="0" w:color="auto"/>
              <w:bottom w:val="single" w:sz="8" w:space="0" w:color="000000"/>
              <w:right w:val="single" w:sz="8" w:space="0" w:color="auto"/>
            </w:tcBorders>
            <w:noWrap/>
            <w:hideMark/>
          </w:tcPr>
          <w:p w:rsidR="00D857E5" w:rsidRPr="002F4C6D" w:rsidRDefault="002A19AE" w:rsidP="002F4C6D">
            <w:pPr>
              <w:jc w:val="center"/>
              <w:rPr>
                <w:rFonts w:cs="Arial"/>
                <w:color w:val="000000"/>
                <w:szCs w:val="24"/>
              </w:rPr>
            </w:pPr>
            <w:r w:rsidRPr="002F4C6D">
              <w:rPr>
                <w:rFonts w:cs="Arial"/>
                <w:color w:val="000000"/>
                <w:szCs w:val="24"/>
              </w:rPr>
              <w:t>1.44</w:t>
            </w:r>
          </w:p>
        </w:tc>
      </w:tr>
      <w:tr w:rsidR="00D857E5" w:rsidRPr="002F4C6D" w:rsidTr="00E0754C">
        <w:trPr>
          <w:trHeight w:val="334"/>
        </w:trPr>
        <w:tc>
          <w:tcPr>
            <w:tcW w:w="4865" w:type="dxa"/>
            <w:tcBorders>
              <w:top w:val="single" w:sz="8" w:space="0" w:color="000000"/>
              <w:left w:val="single" w:sz="8" w:space="0" w:color="000000"/>
              <w:bottom w:val="single" w:sz="8" w:space="0" w:color="000000"/>
              <w:right w:val="single" w:sz="8" w:space="0" w:color="000000"/>
            </w:tcBorders>
            <w:noWrap/>
            <w:hideMark/>
          </w:tcPr>
          <w:p w:rsidR="00D857E5" w:rsidRPr="002F4C6D" w:rsidRDefault="0043457E" w:rsidP="002F4C6D">
            <w:pPr>
              <w:jc w:val="both"/>
              <w:rPr>
                <w:rFonts w:cs="Arial"/>
                <w:color w:val="000000"/>
                <w:szCs w:val="24"/>
              </w:rPr>
            </w:pPr>
            <w:r w:rsidRPr="002F4C6D">
              <w:rPr>
                <w:rFonts w:cs="Arial"/>
                <w:color w:val="000000"/>
                <w:szCs w:val="24"/>
              </w:rPr>
              <w:t xml:space="preserve">Bank Deposit </w:t>
            </w:r>
            <w:r w:rsidR="00D857E5" w:rsidRPr="002F4C6D">
              <w:rPr>
                <w:rFonts w:cs="Arial"/>
                <w:color w:val="000000"/>
                <w:szCs w:val="24"/>
              </w:rPr>
              <w:t>5 Years +</w:t>
            </w:r>
          </w:p>
        </w:tc>
        <w:tc>
          <w:tcPr>
            <w:tcW w:w="2126" w:type="dxa"/>
            <w:tcBorders>
              <w:top w:val="single" w:sz="8" w:space="0" w:color="000000"/>
              <w:left w:val="nil"/>
              <w:bottom w:val="single" w:sz="8" w:space="0" w:color="000000"/>
              <w:right w:val="nil"/>
            </w:tcBorders>
            <w:noWrap/>
            <w:hideMark/>
          </w:tcPr>
          <w:p w:rsidR="00D857E5" w:rsidRPr="002F4C6D" w:rsidRDefault="009425B2" w:rsidP="002F4C6D">
            <w:pPr>
              <w:jc w:val="center"/>
              <w:rPr>
                <w:rFonts w:cs="Arial"/>
                <w:color w:val="000000"/>
                <w:szCs w:val="24"/>
              </w:rPr>
            </w:pPr>
            <w:r w:rsidRPr="002F4C6D">
              <w:rPr>
                <w:rFonts w:cs="Arial"/>
                <w:color w:val="000000"/>
                <w:szCs w:val="24"/>
              </w:rPr>
              <w:t>10.00</w:t>
            </w:r>
          </w:p>
        </w:tc>
        <w:tc>
          <w:tcPr>
            <w:tcW w:w="1984" w:type="dxa"/>
            <w:tcBorders>
              <w:top w:val="single" w:sz="8" w:space="0" w:color="000000"/>
              <w:left w:val="single" w:sz="8" w:space="0" w:color="auto"/>
              <w:bottom w:val="single" w:sz="8" w:space="0" w:color="000000"/>
              <w:right w:val="single" w:sz="8" w:space="0" w:color="auto"/>
            </w:tcBorders>
            <w:noWrap/>
            <w:hideMark/>
          </w:tcPr>
          <w:p w:rsidR="00D857E5" w:rsidRPr="002F4C6D" w:rsidRDefault="002A19AE" w:rsidP="002F4C6D">
            <w:pPr>
              <w:jc w:val="center"/>
              <w:rPr>
                <w:rFonts w:cs="Arial"/>
                <w:color w:val="000000"/>
                <w:szCs w:val="24"/>
              </w:rPr>
            </w:pPr>
            <w:r w:rsidRPr="002F4C6D">
              <w:rPr>
                <w:rFonts w:cs="Arial"/>
                <w:color w:val="000000"/>
                <w:szCs w:val="24"/>
              </w:rPr>
              <w:t>2.95</w:t>
            </w:r>
          </w:p>
        </w:tc>
      </w:tr>
      <w:tr w:rsidR="00D857E5" w:rsidRPr="002F4C6D" w:rsidTr="00E0754C">
        <w:trPr>
          <w:trHeight w:val="334"/>
        </w:trPr>
        <w:tc>
          <w:tcPr>
            <w:tcW w:w="4865" w:type="dxa"/>
            <w:tcBorders>
              <w:top w:val="single" w:sz="8" w:space="0" w:color="000000"/>
              <w:left w:val="single" w:sz="8" w:space="0" w:color="000000"/>
              <w:bottom w:val="single" w:sz="8" w:space="0" w:color="000000"/>
              <w:right w:val="single" w:sz="8" w:space="0" w:color="000000"/>
            </w:tcBorders>
            <w:noWrap/>
            <w:hideMark/>
          </w:tcPr>
          <w:p w:rsidR="00D857E5" w:rsidRPr="002F4C6D" w:rsidRDefault="00D857E5" w:rsidP="002F4C6D">
            <w:pPr>
              <w:jc w:val="both"/>
              <w:rPr>
                <w:rFonts w:cs="Arial"/>
                <w:color w:val="000000"/>
                <w:szCs w:val="24"/>
              </w:rPr>
            </w:pPr>
            <w:r w:rsidRPr="002F4C6D">
              <w:rPr>
                <w:rFonts w:cs="Arial"/>
                <w:color w:val="000000"/>
                <w:szCs w:val="24"/>
              </w:rPr>
              <w:t>Local Authority Bonds</w:t>
            </w:r>
          </w:p>
        </w:tc>
        <w:tc>
          <w:tcPr>
            <w:tcW w:w="2126" w:type="dxa"/>
            <w:tcBorders>
              <w:top w:val="single" w:sz="8" w:space="0" w:color="000000"/>
              <w:left w:val="nil"/>
              <w:bottom w:val="single" w:sz="8" w:space="0" w:color="000000"/>
              <w:right w:val="nil"/>
            </w:tcBorders>
            <w:noWrap/>
            <w:hideMark/>
          </w:tcPr>
          <w:p w:rsidR="00D857E5" w:rsidRPr="002F4C6D" w:rsidRDefault="009425B2" w:rsidP="002F4C6D">
            <w:pPr>
              <w:jc w:val="center"/>
              <w:rPr>
                <w:rFonts w:cs="Arial"/>
                <w:color w:val="000000"/>
                <w:szCs w:val="24"/>
              </w:rPr>
            </w:pPr>
            <w:r w:rsidRPr="002F4C6D">
              <w:rPr>
                <w:rFonts w:cs="Arial"/>
                <w:color w:val="000000"/>
                <w:szCs w:val="24"/>
              </w:rPr>
              <w:t>36.70</w:t>
            </w:r>
          </w:p>
        </w:tc>
        <w:tc>
          <w:tcPr>
            <w:tcW w:w="1984" w:type="dxa"/>
            <w:tcBorders>
              <w:top w:val="single" w:sz="8" w:space="0" w:color="000000"/>
              <w:left w:val="single" w:sz="8" w:space="0" w:color="auto"/>
              <w:bottom w:val="single" w:sz="8" w:space="0" w:color="000000"/>
              <w:right w:val="single" w:sz="8" w:space="0" w:color="auto"/>
            </w:tcBorders>
            <w:noWrap/>
            <w:hideMark/>
          </w:tcPr>
          <w:p w:rsidR="00D857E5" w:rsidRPr="002F4C6D" w:rsidRDefault="00FF1303" w:rsidP="002F4C6D">
            <w:pPr>
              <w:jc w:val="center"/>
              <w:rPr>
                <w:rFonts w:cs="Arial"/>
                <w:color w:val="000000"/>
                <w:szCs w:val="24"/>
              </w:rPr>
            </w:pPr>
            <w:r w:rsidRPr="002F4C6D">
              <w:rPr>
                <w:rFonts w:cs="Arial"/>
                <w:color w:val="000000"/>
                <w:szCs w:val="24"/>
              </w:rPr>
              <w:t>4.05</w:t>
            </w:r>
          </w:p>
        </w:tc>
      </w:tr>
      <w:tr w:rsidR="00F43F91" w:rsidRPr="002F4C6D" w:rsidTr="00E0754C">
        <w:trPr>
          <w:trHeight w:val="334"/>
        </w:trPr>
        <w:tc>
          <w:tcPr>
            <w:tcW w:w="4865" w:type="dxa"/>
            <w:tcBorders>
              <w:top w:val="single" w:sz="8" w:space="0" w:color="000000"/>
              <w:left w:val="single" w:sz="8" w:space="0" w:color="000000"/>
              <w:bottom w:val="single" w:sz="8" w:space="0" w:color="000000"/>
              <w:right w:val="single" w:sz="8" w:space="0" w:color="000000"/>
            </w:tcBorders>
            <w:noWrap/>
            <w:hideMark/>
          </w:tcPr>
          <w:p w:rsidR="00F43F91" w:rsidRPr="002F4C6D" w:rsidRDefault="00F43F91" w:rsidP="002F4C6D">
            <w:pPr>
              <w:jc w:val="both"/>
              <w:rPr>
                <w:rFonts w:cs="Arial"/>
                <w:color w:val="000000"/>
                <w:szCs w:val="24"/>
              </w:rPr>
            </w:pPr>
            <w:r w:rsidRPr="002F4C6D">
              <w:rPr>
                <w:rFonts w:cs="Arial"/>
                <w:color w:val="000000"/>
                <w:szCs w:val="24"/>
              </w:rPr>
              <w:t>UK Government and Supranational</w:t>
            </w:r>
            <w:r w:rsidR="00803C92">
              <w:rPr>
                <w:rFonts w:cs="Arial"/>
                <w:color w:val="000000"/>
                <w:szCs w:val="24"/>
              </w:rPr>
              <w:t>*</w:t>
            </w:r>
            <w:r w:rsidRPr="002F4C6D">
              <w:rPr>
                <w:rFonts w:cs="Arial"/>
                <w:color w:val="000000"/>
                <w:szCs w:val="24"/>
              </w:rPr>
              <w:t xml:space="preserve"> Bonds</w:t>
            </w:r>
          </w:p>
        </w:tc>
        <w:tc>
          <w:tcPr>
            <w:tcW w:w="2126" w:type="dxa"/>
            <w:tcBorders>
              <w:top w:val="single" w:sz="8" w:space="0" w:color="000000"/>
              <w:left w:val="nil"/>
              <w:bottom w:val="single" w:sz="8" w:space="0" w:color="000000"/>
              <w:right w:val="nil"/>
            </w:tcBorders>
            <w:noWrap/>
            <w:hideMark/>
          </w:tcPr>
          <w:p w:rsidR="00F43F91" w:rsidRPr="002F4C6D" w:rsidRDefault="009425B2" w:rsidP="002F4C6D">
            <w:pPr>
              <w:jc w:val="center"/>
              <w:rPr>
                <w:rFonts w:cs="Arial"/>
                <w:color w:val="000000"/>
                <w:szCs w:val="24"/>
              </w:rPr>
            </w:pPr>
            <w:r w:rsidRPr="002F4C6D">
              <w:rPr>
                <w:rFonts w:cs="Arial"/>
                <w:color w:val="000000"/>
                <w:szCs w:val="24"/>
              </w:rPr>
              <w:t>361.66</w:t>
            </w:r>
          </w:p>
        </w:tc>
        <w:tc>
          <w:tcPr>
            <w:tcW w:w="1984" w:type="dxa"/>
            <w:tcBorders>
              <w:top w:val="single" w:sz="8" w:space="0" w:color="000000"/>
              <w:left w:val="single" w:sz="8" w:space="0" w:color="auto"/>
              <w:bottom w:val="single" w:sz="8" w:space="0" w:color="000000"/>
              <w:right w:val="single" w:sz="8" w:space="0" w:color="auto"/>
            </w:tcBorders>
            <w:noWrap/>
            <w:hideMark/>
          </w:tcPr>
          <w:p w:rsidR="00F43F91" w:rsidRPr="002F4C6D" w:rsidRDefault="00FF1303" w:rsidP="002F4C6D">
            <w:pPr>
              <w:jc w:val="center"/>
              <w:rPr>
                <w:rFonts w:cs="Arial"/>
                <w:color w:val="000000"/>
                <w:szCs w:val="24"/>
              </w:rPr>
            </w:pPr>
            <w:r w:rsidRPr="002F4C6D">
              <w:rPr>
                <w:rFonts w:cs="Arial"/>
                <w:color w:val="000000"/>
                <w:szCs w:val="24"/>
              </w:rPr>
              <w:t>12.23</w:t>
            </w:r>
          </w:p>
        </w:tc>
      </w:tr>
      <w:tr w:rsidR="00F43F91" w:rsidRPr="002F4C6D" w:rsidTr="00E0754C">
        <w:trPr>
          <w:trHeight w:val="334"/>
        </w:trPr>
        <w:tc>
          <w:tcPr>
            <w:tcW w:w="4865" w:type="dxa"/>
            <w:tcBorders>
              <w:top w:val="single" w:sz="8" w:space="0" w:color="000000"/>
              <w:left w:val="single" w:sz="8" w:space="0" w:color="000000"/>
              <w:bottom w:val="single" w:sz="8" w:space="0" w:color="000000"/>
              <w:right w:val="single" w:sz="8" w:space="0" w:color="000000"/>
            </w:tcBorders>
            <w:noWrap/>
            <w:hideMark/>
          </w:tcPr>
          <w:p w:rsidR="00F43F91" w:rsidRPr="002F4C6D" w:rsidRDefault="00F43F91" w:rsidP="002F4C6D">
            <w:pPr>
              <w:jc w:val="both"/>
              <w:rPr>
                <w:rFonts w:cs="Arial"/>
                <w:b/>
                <w:bCs/>
                <w:color w:val="000000"/>
                <w:szCs w:val="24"/>
              </w:rPr>
            </w:pPr>
            <w:r w:rsidRPr="002F4C6D">
              <w:rPr>
                <w:rFonts w:cs="Arial"/>
                <w:b/>
                <w:bCs/>
                <w:color w:val="000000"/>
                <w:szCs w:val="24"/>
              </w:rPr>
              <w:t>Total</w:t>
            </w:r>
          </w:p>
        </w:tc>
        <w:tc>
          <w:tcPr>
            <w:tcW w:w="2126" w:type="dxa"/>
            <w:tcBorders>
              <w:top w:val="single" w:sz="8" w:space="0" w:color="000000"/>
              <w:left w:val="nil"/>
              <w:bottom w:val="single" w:sz="8" w:space="0" w:color="000000"/>
              <w:right w:val="nil"/>
            </w:tcBorders>
            <w:noWrap/>
            <w:hideMark/>
          </w:tcPr>
          <w:p w:rsidR="00F43F91" w:rsidRPr="002F4C6D" w:rsidRDefault="009425B2" w:rsidP="002F4C6D">
            <w:pPr>
              <w:jc w:val="center"/>
              <w:rPr>
                <w:rFonts w:cs="Arial"/>
                <w:b/>
                <w:color w:val="000000"/>
                <w:szCs w:val="24"/>
              </w:rPr>
            </w:pPr>
            <w:r w:rsidRPr="002F4C6D">
              <w:rPr>
                <w:rFonts w:cs="Arial"/>
                <w:b/>
                <w:color w:val="000000"/>
                <w:szCs w:val="24"/>
              </w:rPr>
              <w:t>636.57</w:t>
            </w:r>
          </w:p>
        </w:tc>
        <w:tc>
          <w:tcPr>
            <w:tcW w:w="1984" w:type="dxa"/>
            <w:tcBorders>
              <w:top w:val="single" w:sz="8" w:space="0" w:color="000000"/>
              <w:left w:val="single" w:sz="8" w:space="0" w:color="auto"/>
              <w:bottom w:val="single" w:sz="8" w:space="0" w:color="auto"/>
              <w:right w:val="single" w:sz="8" w:space="0" w:color="auto"/>
            </w:tcBorders>
            <w:noWrap/>
            <w:hideMark/>
          </w:tcPr>
          <w:p w:rsidR="00F43F91" w:rsidRPr="002F4C6D" w:rsidRDefault="00FF1303" w:rsidP="002F4C6D">
            <w:pPr>
              <w:jc w:val="center"/>
              <w:rPr>
                <w:rFonts w:cs="Arial"/>
                <w:b/>
                <w:color w:val="000000"/>
                <w:szCs w:val="24"/>
              </w:rPr>
            </w:pPr>
            <w:r w:rsidRPr="002F4C6D">
              <w:rPr>
                <w:rFonts w:cs="Arial"/>
                <w:b/>
                <w:color w:val="000000"/>
                <w:szCs w:val="24"/>
              </w:rPr>
              <w:t>9.32</w:t>
            </w:r>
          </w:p>
        </w:tc>
      </w:tr>
    </w:tbl>
    <w:p w:rsidR="0035598E" w:rsidRPr="00803C92" w:rsidRDefault="00803C92" w:rsidP="002F4C6D">
      <w:pPr>
        <w:ind w:right="-153"/>
        <w:jc w:val="both"/>
        <w:rPr>
          <w:rFonts w:cs="Arial"/>
          <w:sz w:val="20"/>
        </w:rPr>
      </w:pPr>
      <w:r w:rsidRPr="00803C92">
        <w:rPr>
          <w:rFonts w:cs="Arial"/>
          <w:sz w:val="20"/>
        </w:rPr>
        <w:t>* Supranational – bo</w:t>
      </w:r>
      <w:r>
        <w:rPr>
          <w:rFonts w:cs="Arial"/>
          <w:sz w:val="20"/>
        </w:rPr>
        <w:t>d</w:t>
      </w:r>
      <w:r w:rsidRPr="00803C92">
        <w:rPr>
          <w:rFonts w:cs="Arial"/>
          <w:sz w:val="20"/>
        </w:rPr>
        <w:t>ies such as the World Bank, European Development Bank.</w:t>
      </w:r>
    </w:p>
    <w:p w:rsidR="00803C92" w:rsidRPr="00803C92" w:rsidRDefault="00803C92" w:rsidP="002F4C6D">
      <w:pPr>
        <w:ind w:right="-153"/>
        <w:jc w:val="both"/>
        <w:rPr>
          <w:rFonts w:cs="Arial"/>
          <w:b/>
          <w:sz w:val="20"/>
        </w:rPr>
      </w:pPr>
    </w:p>
    <w:p w:rsidR="00962ABD" w:rsidRPr="002F4C6D" w:rsidRDefault="004B27E0" w:rsidP="002F4C6D">
      <w:pPr>
        <w:keepNext/>
        <w:widowControl w:val="0"/>
        <w:spacing w:after="120"/>
        <w:jc w:val="both"/>
        <w:rPr>
          <w:rFonts w:cs="Arial"/>
          <w:b/>
          <w:szCs w:val="24"/>
        </w:rPr>
      </w:pPr>
      <w:r>
        <w:rPr>
          <w:rFonts w:cs="Arial"/>
          <w:b/>
          <w:szCs w:val="24"/>
        </w:rPr>
        <w:t>5.4</w:t>
      </w:r>
      <w:r w:rsidR="00F26B74">
        <w:rPr>
          <w:rFonts w:cs="Arial"/>
          <w:b/>
          <w:szCs w:val="24"/>
        </w:rPr>
        <w:t xml:space="preserve"> </w:t>
      </w:r>
      <w:r w:rsidR="00962ABD" w:rsidRPr="002F4C6D">
        <w:rPr>
          <w:rFonts w:cs="Arial"/>
          <w:b/>
          <w:szCs w:val="24"/>
        </w:rPr>
        <w:t>Liquidity Management</w:t>
      </w:r>
    </w:p>
    <w:p w:rsidR="00222490" w:rsidRPr="002F4C6D" w:rsidRDefault="0040093B" w:rsidP="002F4C6D">
      <w:pPr>
        <w:autoSpaceDE w:val="0"/>
        <w:autoSpaceDN w:val="0"/>
        <w:adjustRightInd w:val="0"/>
        <w:jc w:val="both"/>
        <w:rPr>
          <w:rFonts w:cs="Arial"/>
          <w:szCs w:val="24"/>
        </w:rPr>
      </w:pPr>
      <w:r>
        <w:rPr>
          <w:rFonts w:cs="Arial"/>
          <w:szCs w:val="24"/>
        </w:rPr>
        <w:t>In keeping with the Department of Community &amp; Local Government's</w:t>
      </w:r>
      <w:r w:rsidR="005207C6" w:rsidRPr="002F4C6D">
        <w:rPr>
          <w:rFonts w:cs="Arial"/>
          <w:szCs w:val="24"/>
        </w:rPr>
        <w:t xml:space="preserve"> </w:t>
      </w:r>
      <w:r w:rsidR="00962ABD" w:rsidRPr="002F4C6D">
        <w:rPr>
          <w:rFonts w:cs="Arial"/>
          <w:szCs w:val="24"/>
        </w:rPr>
        <w:t xml:space="preserve">Guidance on Investments, the </w:t>
      </w:r>
      <w:r w:rsidR="000F1A22" w:rsidRPr="002F4C6D">
        <w:rPr>
          <w:rFonts w:cs="Arial"/>
          <w:szCs w:val="24"/>
        </w:rPr>
        <w:t>Council</w:t>
      </w:r>
      <w:r w:rsidR="00962ABD" w:rsidRPr="002F4C6D">
        <w:rPr>
          <w:rFonts w:cs="Arial"/>
          <w:szCs w:val="24"/>
        </w:rPr>
        <w:t xml:space="preserve"> maintained a </w:t>
      </w:r>
      <w:r w:rsidR="005207C6" w:rsidRPr="002F4C6D">
        <w:rPr>
          <w:rFonts w:cs="Arial"/>
          <w:szCs w:val="24"/>
        </w:rPr>
        <w:t>minimum</w:t>
      </w:r>
      <w:r w:rsidR="00962ABD" w:rsidRPr="002F4C6D">
        <w:rPr>
          <w:rFonts w:cs="Arial"/>
          <w:szCs w:val="24"/>
        </w:rPr>
        <w:t xml:space="preserve"> level of </w:t>
      </w:r>
      <w:r w:rsidR="001E643C" w:rsidRPr="002F4C6D">
        <w:rPr>
          <w:rFonts w:cs="Arial"/>
          <w:szCs w:val="24"/>
        </w:rPr>
        <w:t xml:space="preserve">primary </w:t>
      </w:r>
      <w:r w:rsidR="00962ABD" w:rsidRPr="002F4C6D">
        <w:rPr>
          <w:rFonts w:cs="Arial"/>
          <w:szCs w:val="24"/>
        </w:rPr>
        <w:t xml:space="preserve">liquidity </w:t>
      </w:r>
      <w:r>
        <w:rPr>
          <w:rFonts w:cs="Arial"/>
          <w:szCs w:val="24"/>
        </w:rPr>
        <w:t>of £20</w:t>
      </w:r>
      <w:r w:rsidR="005207C6" w:rsidRPr="002F4C6D">
        <w:rPr>
          <w:rFonts w:cs="Arial"/>
          <w:szCs w:val="24"/>
        </w:rPr>
        <w:t>m</w:t>
      </w:r>
      <w:r w:rsidR="00962ABD" w:rsidRPr="002F4C6D">
        <w:rPr>
          <w:rFonts w:cs="Arial"/>
          <w:szCs w:val="24"/>
        </w:rPr>
        <w:t xml:space="preserve"> through the use of Money Market Funds</w:t>
      </w:r>
      <w:r w:rsidR="005207C6" w:rsidRPr="002F4C6D">
        <w:rPr>
          <w:rFonts w:cs="Arial"/>
          <w:szCs w:val="24"/>
        </w:rPr>
        <w:t xml:space="preserve"> and Call </w:t>
      </w:r>
      <w:r w:rsidR="000F1A22" w:rsidRPr="002F4C6D">
        <w:rPr>
          <w:rFonts w:cs="Arial"/>
          <w:szCs w:val="24"/>
        </w:rPr>
        <w:t>Accounts. The</w:t>
      </w:r>
      <w:r w:rsidR="00222490" w:rsidRPr="002F4C6D">
        <w:rPr>
          <w:rFonts w:cs="Arial"/>
          <w:szCs w:val="24"/>
        </w:rPr>
        <w:t xml:space="preserve"> </w:t>
      </w:r>
      <w:r w:rsidR="000F1A22" w:rsidRPr="002F4C6D">
        <w:rPr>
          <w:rFonts w:cs="Arial"/>
          <w:szCs w:val="24"/>
        </w:rPr>
        <w:t>Council</w:t>
      </w:r>
      <w:r w:rsidR="00222490" w:rsidRPr="002F4C6D">
        <w:rPr>
          <w:rFonts w:cs="Arial"/>
          <w:szCs w:val="24"/>
        </w:rPr>
        <w:t xml:space="preserve"> also has</w:t>
      </w:r>
      <w:r w:rsidR="001E643C" w:rsidRPr="002F4C6D">
        <w:rPr>
          <w:rFonts w:cs="Arial"/>
          <w:szCs w:val="24"/>
        </w:rPr>
        <w:t xml:space="preserve"> bond portfolio</w:t>
      </w:r>
      <w:r w:rsidR="001B0D43" w:rsidRPr="002F4C6D">
        <w:rPr>
          <w:rFonts w:cs="Arial"/>
          <w:szCs w:val="24"/>
        </w:rPr>
        <w:t>s</w:t>
      </w:r>
      <w:r w:rsidR="00A457F8" w:rsidRPr="002F4C6D">
        <w:rPr>
          <w:rFonts w:cs="Arial"/>
          <w:szCs w:val="24"/>
        </w:rPr>
        <w:t xml:space="preserve"> which</w:t>
      </w:r>
      <w:r w:rsidR="001E643C" w:rsidRPr="002F4C6D">
        <w:rPr>
          <w:rFonts w:cs="Arial"/>
          <w:szCs w:val="24"/>
        </w:rPr>
        <w:t xml:space="preserve"> </w:t>
      </w:r>
      <w:r w:rsidR="001B0D43" w:rsidRPr="002F4C6D">
        <w:rPr>
          <w:rFonts w:cs="Arial"/>
          <w:szCs w:val="24"/>
        </w:rPr>
        <w:t>are</w:t>
      </w:r>
      <w:r w:rsidR="001E643C" w:rsidRPr="002F4C6D">
        <w:rPr>
          <w:rFonts w:cs="Arial"/>
          <w:szCs w:val="24"/>
        </w:rPr>
        <w:t xml:space="preserve"> available for sale, at </w:t>
      </w:r>
      <w:r w:rsidR="00222490" w:rsidRPr="002F4C6D">
        <w:rPr>
          <w:rFonts w:cs="Arial"/>
          <w:szCs w:val="24"/>
        </w:rPr>
        <w:t>current market</w:t>
      </w:r>
      <w:r w:rsidR="001E643C" w:rsidRPr="002F4C6D">
        <w:rPr>
          <w:rFonts w:cs="Arial"/>
          <w:szCs w:val="24"/>
        </w:rPr>
        <w:t xml:space="preserve"> pric</w:t>
      </w:r>
      <w:r w:rsidR="000F1A22" w:rsidRPr="002F4C6D">
        <w:rPr>
          <w:rFonts w:cs="Arial"/>
          <w:szCs w:val="24"/>
        </w:rPr>
        <w:t>es</w:t>
      </w:r>
      <w:r w:rsidR="001E643C" w:rsidRPr="002F4C6D">
        <w:rPr>
          <w:rFonts w:cs="Arial"/>
          <w:szCs w:val="24"/>
        </w:rPr>
        <w:t>, if needed as “secondary” liquidity</w:t>
      </w:r>
      <w:r w:rsidR="00222490" w:rsidRPr="002F4C6D">
        <w:rPr>
          <w:rFonts w:cs="Arial"/>
          <w:szCs w:val="24"/>
        </w:rPr>
        <w:t>.</w:t>
      </w:r>
      <w:r w:rsidR="004B27E0">
        <w:rPr>
          <w:rFonts w:cs="Arial"/>
          <w:szCs w:val="24"/>
        </w:rPr>
        <w:t xml:space="preserve"> From June 2015 the only assets held by the County Council which would be unprotected if a bank defaulted will be overnight deposits on call.</w:t>
      </w:r>
    </w:p>
    <w:p w:rsidR="00222490" w:rsidRPr="002F4C6D" w:rsidRDefault="00222490" w:rsidP="002F4C6D">
      <w:pPr>
        <w:autoSpaceDE w:val="0"/>
        <w:autoSpaceDN w:val="0"/>
        <w:adjustRightInd w:val="0"/>
        <w:jc w:val="both"/>
        <w:rPr>
          <w:rFonts w:cs="Arial"/>
          <w:szCs w:val="24"/>
        </w:rPr>
      </w:pPr>
    </w:p>
    <w:p w:rsidR="00962ABD" w:rsidRPr="002F4C6D" w:rsidRDefault="00962ABD" w:rsidP="002F4C6D">
      <w:pPr>
        <w:autoSpaceDE w:val="0"/>
        <w:autoSpaceDN w:val="0"/>
        <w:adjustRightInd w:val="0"/>
        <w:jc w:val="both"/>
        <w:rPr>
          <w:rFonts w:cs="Arial"/>
          <w:szCs w:val="24"/>
        </w:rPr>
      </w:pPr>
      <w:r w:rsidRPr="002F4C6D">
        <w:rPr>
          <w:rFonts w:cs="Arial"/>
          <w:szCs w:val="24"/>
        </w:rPr>
        <w:t xml:space="preserve">The </w:t>
      </w:r>
      <w:r w:rsidR="000F1A22" w:rsidRPr="002F4C6D">
        <w:rPr>
          <w:rFonts w:cs="Arial"/>
          <w:szCs w:val="24"/>
        </w:rPr>
        <w:t>Council uses</w:t>
      </w:r>
      <w:r w:rsidRPr="002F4C6D">
        <w:rPr>
          <w:rFonts w:cs="Arial"/>
          <w:szCs w:val="24"/>
        </w:rPr>
        <w:t xml:space="preserve"> cash flow forecasting </w:t>
      </w:r>
      <w:r w:rsidR="0040093B">
        <w:rPr>
          <w:rFonts w:cs="Arial"/>
          <w:szCs w:val="24"/>
        </w:rPr>
        <w:t>t</w:t>
      </w:r>
      <w:r w:rsidRPr="002F4C6D">
        <w:rPr>
          <w:rFonts w:cs="Arial"/>
          <w:szCs w:val="24"/>
        </w:rPr>
        <w:t xml:space="preserve">o determine the maximum period for which funds may prudently be committed. </w:t>
      </w:r>
    </w:p>
    <w:p w:rsidR="00962ABD" w:rsidRPr="002F4C6D" w:rsidRDefault="00962ABD" w:rsidP="002F4C6D">
      <w:pPr>
        <w:jc w:val="both"/>
        <w:rPr>
          <w:rFonts w:cs="Arial"/>
          <w:szCs w:val="24"/>
          <w:highlight w:val="green"/>
        </w:rPr>
      </w:pPr>
    </w:p>
    <w:p w:rsidR="00962ABD" w:rsidRPr="002F4C6D" w:rsidRDefault="004B27E0" w:rsidP="002F4C6D">
      <w:pPr>
        <w:keepNext/>
        <w:widowControl w:val="0"/>
        <w:spacing w:after="120"/>
        <w:jc w:val="both"/>
        <w:rPr>
          <w:rFonts w:cs="Arial"/>
          <w:b/>
          <w:szCs w:val="24"/>
        </w:rPr>
      </w:pPr>
      <w:r>
        <w:rPr>
          <w:rFonts w:cs="Arial"/>
          <w:b/>
          <w:szCs w:val="24"/>
        </w:rPr>
        <w:t>5.5</w:t>
      </w:r>
      <w:r w:rsidR="00F26B74">
        <w:rPr>
          <w:rFonts w:cs="Arial"/>
          <w:b/>
          <w:szCs w:val="24"/>
        </w:rPr>
        <w:t xml:space="preserve"> </w:t>
      </w:r>
      <w:r w:rsidR="00962ABD" w:rsidRPr="002F4C6D">
        <w:rPr>
          <w:rFonts w:cs="Arial"/>
          <w:b/>
          <w:szCs w:val="24"/>
        </w:rPr>
        <w:t xml:space="preserve">Yield </w:t>
      </w:r>
    </w:p>
    <w:p w:rsidR="00962ABD" w:rsidRPr="002F4C6D" w:rsidRDefault="00962ABD" w:rsidP="002F4C6D">
      <w:pPr>
        <w:jc w:val="both"/>
        <w:rPr>
          <w:rFonts w:cs="Arial"/>
          <w:szCs w:val="24"/>
        </w:rPr>
      </w:pPr>
      <w:r w:rsidRPr="002F4C6D">
        <w:rPr>
          <w:rFonts w:cs="Arial"/>
          <w:szCs w:val="24"/>
        </w:rPr>
        <w:t xml:space="preserve">The low rates of return on the Authority’s short-dated money market investments reflect prevailing market conditions and the Authority’s objective of optimising returns commensurate with the principles of security and liquidity. </w:t>
      </w:r>
    </w:p>
    <w:p w:rsidR="00962ABD" w:rsidRPr="002F4C6D" w:rsidRDefault="00962ABD" w:rsidP="002F4C6D">
      <w:pPr>
        <w:jc w:val="both"/>
        <w:rPr>
          <w:rFonts w:cs="Arial"/>
          <w:szCs w:val="24"/>
          <w:highlight w:val="green"/>
        </w:rPr>
      </w:pPr>
    </w:p>
    <w:p w:rsidR="00962ABD" w:rsidRPr="002F4C6D" w:rsidRDefault="00962ABD" w:rsidP="002F4C6D">
      <w:pPr>
        <w:jc w:val="both"/>
        <w:rPr>
          <w:rFonts w:cs="Arial"/>
          <w:szCs w:val="24"/>
        </w:rPr>
      </w:pPr>
      <w:r w:rsidRPr="002F4C6D">
        <w:rPr>
          <w:rFonts w:cs="Arial"/>
          <w:szCs w:val="24"/>
        </w:rPr>
        <w:t>Income o</w:t>
      </w:r>
      <w:r w:rsidR="0042486C" w:rsidRPr="002F4C6D">
        <w:rPr>
          <w:rFonts w:cs="Arial"/>
          <w:szCs w:val="24"/>
        </w:rPr>
        <w:t>f</w:t>
      </w:r>
      <w:r w:rsidRPr="002F4C6D">
        <w:rPr>
          <w:rFonts w:cs="Arial"/>
          <w:szCs w:val="24"/>
        </w:rPr>
        <w:t xml:space="preserve"> </w:t>
      </w:r>
      <w:r w:rsidR="007D4999" w:rsidRPr="002F4C6D">
        <w:rPr>
          <w:rFonts w:cs="Arial"/>
          <w:szCs w:val="24"/>
        </w:rPr>
        <w:t>£</w:t>
      </w:r>
      <w:r w:rsidR="00196A55" w:rsidRPr="002F4C6D">
        <w:rPr>
          <w:rFonts w:cs="Arial"/>
          <w:szCs w:val="24"/>
        </w:rPr>
        <w:t>8</w:t>
      </w:r>
      <w:r w:rsidR="00F053D5">
        <w:rPr>
          <w:rFonts w:cs="Arial"/>
          <w:szCs w:val="24"/>
        </w:rPr>
        <w:t>3.931m</w:t>
      </w:r>
      <w:r w:rsidRPr="002F4C6D">
        <w:rPr>
          <w:rFonts w:cs="Arial"/>
          <w:szCs w:val="24"/>
        </w:rPr>
        <w:t xml:space="preserve"> </w:t>
      </w:r>
      <w:r w:rsidR="001B0D43" w:rsidRPr="002F4C6D">
        <w:rPr>
          <w:rFonts w:cs="Arial"/>
          <w:szCs w:val="24"/>
        </w:rPr>
        <w:t xml:space="preserve">was earned on </w:t>
      </w:r>
      <w:r w:rsidRPr="002F4C6D">
        <w:rPr>
          <w:rFonts w:cs="Arial"/>
          <w:szCs w:val="24"/>
        </w:rPr>
        <w:t xml:space="preserve">investments </w:t>
      </w:r>
      <w:r w:rsidR="001B0D43" w:rsidRPr="002F4C6D">
        <w:rPr>
          <w:rFonts w:cs="Arial"/>
          <w:szCs w:val="24"/>
        </w:rPr>
        <w:t>as a result o</w:t>
      </w:r>
      <w:r w:rsidR="00651C1C">
        <w:rPr>
          <w:rFonts w:cs="Arial"/>
          <w:szCs w:val="24"/>
        </w:rPr>
        <w:t>f continuing low interest rates</w:t>
      </w:r>
      <w:r w:rsidR="001B0D43" w:rsidRPr="002F4C6D">
        <w:rPr>
          <w:rFonts w:cs="Arial"/>
          <w:szCs w:val="24"/>
        </w:rPr>
        <w:t xml:space="preserve"> and concern over deflation and geo</w:t>
      </w:r>
      <w:r w:rsidR="00B352C9" w:rsidRPr="002F4C6D">
        <w:rPr>
          <w:rFonts w:cs="Arial"/>
          <w:szCs w:val="24"/>
        </w:rPr>
        <w:t>-</w:t>
      </w:r>
      <w:r w:rsidR="001B0D43" w:rsidRPr="002F4C6D">
        <w:rPr>
          <w:rFonts w:cs="Arial"/>
          <w:szCs w:val="24"/>
        </w:rPr>
        <w:t>political unrest in the Middle East and Ukraine.</w:t>
      </w:r>
      <w:r w:rsidRPr="002F4C6D">
        <w:rPr>
          <w:rFonts w:cs="Arial"/>
          <w:szCs w:val="24"/>
        </w:rPr>
        <w:t xml:space="preserve"> </w:t>
      </w:r>
      <w:r w:rsidR="00B352C9" w:rsidRPr="002F4C6D">
        <w:rPr>
          <w:rFonts w:cs="Arial"/>
          <w:szCs w:val="24"/>
        </w:rPr>
        <w:t xml:space="preserve">Overall the investment portfolios returned an average rate of </w:t>
      </w:r>
      <w:r w:rsidR="00FF1303" w:rsidRPr="002F4C6D">
        <w:rPr>
          <w:rFonts w:cs="Arial"/>
          <w:szCs w:val="24"/>
        </w:rPr>
        <w:t>9.32</w:t>
      </w:r>
      <w:r w:rsidR="00B352C9" w:rsidRPr="002F4C6D">
        <w:rPr>
          <w:rFonts w:cs="Arial"/>
          <w:szCs w:val="24"/>
        </w:rPr>
        <w:t>% in 2014/15.</w:t>
      </w:r>
      <w:r w:rsidRPr="002F4C6D">
        <w:rPr>
          <w:rFonts w:cs="Arial"/>
          <w:szCs w:val="24"/>
        </w:rPr>
        <w:t xml:space="preserve"> </w:t>
      </w:r>
    </w:p>
    <w:p w:rsidR="00033608" w:rsidRPr="002F4C6D" w:rsidRDefault="00962ABD" w:rsidP="002F4C6D">
      <w:pPr>
        <w:jc w:val="both"/>
        <w:rPr>
          <w:rFonts w:cs="Arial"/>
          <w:b/>
          <w:szCs w:val="24"/>
          <w:highlight w:val="yellow"/>
        </w:rPr>
      </w:pPr>
      <w:r w:rsidRPr="002F4C6D">
        <w:rPr>
          <w:rFonts w:cs="Arial"/>
          <w:szCs w:val="24"/>
          <w:highlight w:val="yellow"/>
        </w:rPr>
        <w:t xml:space="preserve">  </w:t>
      </w:r>
    </w:p>
    <w:p w:rsidR="00FA24FD" w:rsidRPr="002F4C6D" w:rsidRDefault="00F26B74" w:rsidP="002F4C6D">
      <w:pPr>
        <w:ind w:left="284" w:hanging="284"/>
        <w:jc w:val="both"/>
        <w:rPr>
          <w:rFonts w:cs="Arial"/>
          <w:b/>
          <w:szCs w:val="24"/>
        </w:rPr>
      </w:pPr>
      <w:r>
        <w:rPr>
          <w:rFonts w:cs="Arial"/>
          <w:b/>
          <w:szCs w:val="24"/>
        </w:rPr>
        <w:t xml:space="preserve">6. </w:t>
      </w:r>
      <w:r w:rsidR="00D64066" w:rsidRPr="002F4C6D">
        <w:rPr>
          <w:rFonts w:cs="Arial"/>
          <w:b/>
          <w:szCs w:val="24"/>
        </w:rPr>
        <w:t>Impact of the Treasury Management</w:t>
      </w:r>
      <w:r w:rsidR="00340827" w:rsidRPr="002F4C6D">
        <w:rPr>
          <w:rFonts w:cs="Arial"/>
          <w:b/>
          <w:szCs w:val="24"/>
        </w:rPr>
        <w:t xml:space="preserve"> Strategy</w:t>
      </w:r>
      <w:r w:rsidR="00D64066" w:rsidRPr="002F4C6D">
        <w:rPr>
          <w:rFonts w:cs="Arial"/>
          <w:b/>
          <w:szCs w:val="24"/>
        </w:rPr>
        <w:t xml:space="preserve"> on the County Council's revenue budget</w:t>
      </w:r>
    </w:p>
    <w:p w:rsidR="004D7A17" w:rsidRPr="002F4C6D" w:rsidRDefault="004D7A17" w:rsidP="002F4C6D">
      <w:pPr>
        <w:jc w:val="both"/>
        <w:rPr>
          <w:rFonts w:cs="Arial"/>
          <w:b/>
          <w:szCs w:val="24"/>
        </w:rPr>
      </w:pPr>
    </w:p>
    <w:p w:rsidR="00C13C4A" w:rsidRDefault="00E9245C" w:rsidP="00C13C4A">
      <w:pPr>
        <w:pStyle w:val="Body1"/>
        <w:spacing w:after="0" w:line="240" w:lineRule="auto"/>
        <w:jc w:val="both"/>
        <w:rPr>
          <w:rFonts w:eastAsia="Calibri" w:cs="Arial"/>
          <w:szCs w:val="24"/>
        </w:rPr>
      </w:pPr>
      <w:r w:rsidRPr="002F4C6D">
        <w:rPr>
          <w:rFonts w:cs="Arial"/>
          <w:szCs w:val="24"/>
        </w:rPr>
        <w:t>The</w:t>
      </w:r>
      <w:r w:rsidR="00340827" w:rsidRPr="002F4C6D">
        <w:rPr>
          <w:rFonts w:cs="Arial"/>
          <w:szCs w:val="24"/>
        </w:rPr>
        <w:t xml:space="preserve"> table below shows </w:t>
      </w:r>
      <w:r w:rsidR="00C13C4A">
        <w:rPr>
          <w:rFonts w:cs="Arial"/>
          <w:szCs w:val="24"/>
        </w:rPr>
        <w:t>that the</w:t>
      </w:r>
      <w:r w:rsidR="00C13C4A">
        <w:rPr>
          <w:rFonts w:eastAsia="Calibri" w:cs="Arial"/>
          <w:szCs w:val="24"/>
        </w:rPr>
        <w:t xml:space="preserve"> net position is £69.583m better than the budget. This is a result of additional income being received from realising market value increases in bonds and gains from the UK Treasury redemption of war loan bonds of which the Council was a holder. These gains are considered to be extraordinary and therefore will be a one-off gain.</w:t>
      </w:r>
    </w:p>
    <w:p w:rsidR="00D60FB3" w:rsidRPr="002F4C6D" w:rsidRDefault="00F26B74" w:rsidP="002F4C6D">
      <w:pPr>
        <w:jc w:val="both"/>
        <w:rPr>
          <w:rFonts w:cs="Arial"/>
          <w:szCs w:val="24"/>
        </w:rPr>
      </w:pPr>
      <w:r>
        <w:rPr>
          <w:rFonts w:eastAsia="Calibri" w:cs="Arial"/>
          <w:szCs w:val="24"/>
        </w:rPr>
        <w:t>.</w:t>
      </w:r>
    </w:p>
    <w:tbl>
      <w:tblPr>
        <w:tblW w:w="8867" w:type="dxa"/>
        <w:tblInd w:w="93" w:type="dxa"/>
        <w:tblLook w:val="04A0" w:firstRow="1" w:lastRow="0" w:firstColumn="1" w:lastColumn="0" w:noHBand="0" w:noVBand="1"/>
      </w:tblPr>
      <w:tblGrid>
        <w:gridCol w:w="4154"/>
        <w:gridCol w:w="1957"/>
        <w:gridCol w:w="1378"/>
        <w:gridCol w:w="1378"/>
      </w:tblGrid>
      <w:tr w:rsidR="007F2D69" w:rsidRPr="00B8682A" w:rsidTr="00EC6F5B">
        <w:trPr>
          <w:trHeight w:val="379"/>
        </w:trPr>
        <w:tc>
          <w:tcPr>
            <w:tcW w:w="6111" w:type="dxa"/>
            <w:gridSpan w:val="2"/>
            <w:tcBorders>
              <w:top w:val="nil"/>
              <w:left w:val="nil"/>
              <w:right w:val="nil"/>
            </w:tcBorders>
            <w:noWrap/>
            <w:vAlign w:val="center"/>
            <w:hideMark/>
          </w:tcPr>
          <w:p w:rsidR="00F26B74" w:rsidRDefault="00F26B74" w:rsidP="00E45620">
            <w:pPr>
              <w:rPr>
                <w:rFonts w:cs="Arial"/>
                <w:b/>
                <w:bCs/>
                <w:szCs w:val="24"/>
              </w:rPr>
            </w:pPr>
          </w:p>
          <w:p w:rsidR="007F2D69" w:rsidRPr="00B8682A" w:rsidRDefault="00C21314" w:rsidP="00E45620">
            <w:pPr>
              <w:rPr>
                <w:rFonts w:cs="Arial"/>
                <w:b/>
                <w:bCs/>
                <w:szCs w:val="24"/>
              </w:rPr>
            </w:pPr>
            <w:r w:rsidRPr="00B8682A">
              <w:rPr>
                <w:rFonts w:cs="Arial"/>
                <w:b/>
                <w:bCs/>
                <w:szCs w:val="24"/>
              </w:rPr>
              <w:t>Financing Charges 201</w:t>
            </w:r>
            <w:r w:rsidR="00B8682A" w:rsidRPr="00B8682A">
              <w:rPr>
                <w:rFonts w:cs="Arial"/>
                <w:b/>
                <w:bCs/>
                <w:szCs w:val="24"/>
              </w:rPr>
              <w:t>4/15</w:t>
            </w:r>
            <w:r w:rsidRPr="00B8682A">
              <w:rPr>
                <w:rFonts w:cs="Arial"/>
                <w:b/>
                <w:bCs/>
                <w:szCs w:val="24"/>
              </w:rPr>
              <w:t>– End of Year Position</w:t>
            </w:r>
          </w:p>
          <w:p w:rsidR="00B53944" w:rsidRPr="00B8682A" w:rsidRDefault="00B53944" w:rsidP="00E45620">
            <w:pPr>
              <w:rPr>
                <w:rFonts w:cs="Arial"/>
                <w:bCs/>
                <w:szCs w:val="24"/>
              </w:rPr>
            </w:pPr>
          </w:p>
        </w:tc>
        <w:tc>
          <w:tcPr>
            <w:tcW w:w="1378" w:type="dxa"/>
            <w:tcBorders>
              <w:top w:val="nil"/>
              <w:left w:val="nil"/>
              <w:right w:val="nil"/>
            </w:tcBorders>
            <w:noWrap/>
            <w:vAlign w:val="bottom"/>
            <w:hideMark/>
          </w:tcPr>
          <w:p w:rsidR="007F2D69" w:rsidRPr="00B8682A" w:rsidRDefault="007F2D69" w:rsidP="007F2D69">
            <w:pPr>
              <w:rPr>
                <w:rFonts w:cs="Arial"/>
                <w:sz w:val="20"/>
              </w:rPr>
            </w:pPr>
          </w:p>
        </w:tc>
        <w:tc>
          <w:tcPr>
            <w:tcW w:w="1378" w:type="dxa"/>
            <w:tcBorders>
              <w:top w:val="nil"/>
              <w:left w:val="nil"/>
              <w:right w:val="nil"/>
            </w:tcBorders>
            <w:noWrap/>
            <w:vAlign w:val="bottom"/>
            <w:hideMark/>
          </w:tcPr>
          <w:p w:rsidR="007F2D69" w:rsidRPr="00B8682A" w:rsidRDefault="007F2D69" w:rsidP="007F2D69">
            <w:pPr>
              <w:rPr>
                <w:rFonts w:cs="Arial"/>
                <w:sz w:val="20"/>
              </w:rPr>
            </w:pPr>
          </w:p>
        </w:tc>
      </w:tr>
      <w:tr w:rsidR="00D41D90" w:rsidRPr="00B8682A" w:rsidTr="00EC6F5B">
        <w:trPr>
          <w:trHeight w:val="332"/>
        </w:trPr>
        <w:tc>
          <w:tcPr>
            <w:tcW w:w="4154" w:type="dxa"/>
            <w:tcBorders>
              <w:top w:val="single" w:sz="4" w:space="0" w:color="auto"/>
              <w:left w:val="single" w:sz="4" w:space="0" w:color="auto"/>
              <w:bottom w:val="nil"/>
              <w:right w:val="nil"/>
            </w:tcBorders>
            <w:noWrap/>
            <w:vAlign w:val="bottom"/>
            <w:hideMark/>
          </w:tcPr>
          <w:p w:rsidR="00D41D90" w:rsidRPr="006F6087" w:rsidRDefault="00D41D90" w:rsidP="00EC6F5B">
            <w:pPr>
              <w:jc w:val="center"/>
              <w:rPr>
                <w:rFonts w:ascii="Calibri" w:hAnsi="Calibri" w:cs="Arial"/>
                <w:color w:val="000000"/>
                <w:szCs w:val="24"/>
              </w:rPr>
            </w:pPr>
          </w:p>
        </w:tc>
        <w:tc>
          <w:tcPr>
            <w:tcW w:w="1957" w:type="dxa"/>
            <w:tcBorders>
              <w:top w:val="single" w:sz="4" w:space="0" w:color="auto"/>
              <w:left w:val="nil"/>
              <w:bottom w:val="nil"/>
              <w:right w:val="nil"/>
            </w:tcBorders>
            <w:noWrap/>
            <w:vAlign w:val="bottom"/>
            <w:hideMark/>
          </w:tcPr>
          <w:p w:rsidR="00D41D90" w:rsidRPr="006F6087" w:rsidRDefault="00D41D90" w:rsidP="00EC6F5B">
            <w:pPr>
              <w:jc w:val="center"/>
              <w:rPr>
                <w:rFonts w:cs="Arial"/>
                <w:b/>
                <w:bCs/>
                <w:color w:val="000000"/>
                <w:szCs w:val="24"/>
              </w:rPr>
            </w:pPr>
            <w:r w:rsidRPr="006F6087">
              <w:rPr>
                <w:rFonts w:cs="Arial"/>
                <w:b/>
                <w:bCs/>
                <w:color w:val="000000"/>
                <w:szCs w:val="24"/>
              </w:rPr>
              <w:t>Budget</w:t>
            </w:r>
          </w:p>
        </w:tc>
        <w:tc>
          <w:tcPr>
            <w:tcW w:w="1378" w:type="dxa"/>
            <w:tcBorders>
              <w:top w:val="single" w:sz="4" w:space="0" w:color="auto"/>
              <w:left w:val="nil"/>
              <w:bottom w:val="nil"/>
              <w:right w:val="nil"/>
            </w:tcBorders>
            <w:noWrap/>
            <w:vAlign w:val="bottom"/>
            <w:hideMark/>
          </w:tcPr>
          <w:p w:rsidR="00D41D90" w:rsidRPr="006F6087" w:rsidRDefault="00D41D90" w:rsidP="00EC6F5B">
            <w:pPr>
              <w:jc w:val="center"/>
              <w:rPr>
                <w:rFonts w:cs="Arial"/>
                <w:b/>
                <w:bCs/>
                <w:color w:val="000000"/>
                <w:szCs w:val="24"/>
              </w:rPr>
            </w:pPr>
            <w:r w:rsidRPr="006F6087">
              <w:rPr>
                <w:rFonts w:cs="Arial"/>
                <w:b/>
                <w:bCs/>
                <w:color w:val="000000"/>
                <w:szCs w:val="24"/>
              </w:rPr>
              <w:t>Year End Position</w:t>
            </w:r>
          </w:p>
        </w:tc>
        <w:tc>
          <w:tcPr>
            <w:tcW w:w="1378" w:type="dxa"/>
            <w:tcBorders>
              <w:top w:val="single" w:sz="4" w:space="0" w:color="auto"/>
              <w:left w:val="nil"/>
              <w:bottom w:val="nil"/>
              <w:right w:val="single" w:sz="4" w:space="0" w:color="auto"/>
            </w:tcBorders>
            <w:noWrap/>
            <w:vAlign w:val="bottom"/>
            <w:hideMark/>
          </w:tcPr>
          <w:p w:rsidR="00D41D90" w:rsidRPr="006F6087" w:rsidRDefault="00D41D90" w:rsidP="00EC6F5B">
            <w:pPr>
              <w:jc w:val="center"/>
              <w:rPr>
                <w:rFonts w:cs="Arial"/>
                <w:b/>
                <w:bCs/>
                <w:color w:val="000000"/>
                <w:szCs w:val="24"/>
              </w:rPr>
            </w:pPr>
            <w:r w:rsidRPr="006F6087">
              <w:rPr>
                <w:rFonts w:cs="Arial"/>
                <w:b/>
                <w:bCs/>
                <w:color w:val="000000"/>
                <w:szCs w:val="24"/>
              </w:rPr>
              <w:t>Variance</w:t>
            </w:r>
          </w:p>
        </w:tc>
      </w:tr>
      <w:tr w:rsidR="00EC6F5B" w:rsidRPr="00B8682A" w:rsidTr="00FE4227">
        <w:trPr>
          <w:trHeight w:val="332"/>
        </w:trPr>
        <w:tc>
          <w:tcPr>
            <w:tcW w:w="4154" w:type="dxa"/>
            <w:tcBorders>
              <w:top w:val="nil"/>
              <w:left w:val="single" w:sz="4" w:space="0" w:color="auto"/>
              <w:bottom w:val="nil"/>
              <w:right w:val="nil"/>
            </w:tcBorders>
            <w:noWrap/>
            <w:vAlign w:val="bottom"/>
            <w:hideMark/>
          </w:tcPr>
          <w:p w:rsidR="00EC6F5B" w:rsidRPr="006F6087" w:rsidRDefault="00EC6F5B" w:rsidP="00EC6F5B">
            <w:pPr>
              <w:jc w:val="center"/>
              <w:rPr>
                <w:rFonts w:ascii="Calibri" w:hAnsi="Calibri" w:cs="Arial"/>
                <w:b/>
                <w:color w:val="000000"/>
                <w:szCs w:val="24"/>
              </w:rPr>
            </w:pPr>
          </w:p>
        </w:tc>
        <w:tc>
          <w:tcPr>
            <w:tcW w:w="1957" w:type="dxa"/>
            <w:tcBorders>
              <w:top w:val="nil"/>
              <w:left w:val="nil"/>
              <w:bottom w:val="nil"/>
              <w:right w:val="nil"/>
            </w:tcBorders>
            <w:noWrap/>
            <w:vAlign w:val="bottom"/>
            <w:hideMark/>
          </w:tcPr>
          <w:p w:rsidR="00EC6F5B" w:rsidRPr="006F6087" w:rsidRDefault="00EC6F5B" w:rsidP="00EC6F5B">
            <w:pPr>
              <w:jc w:val="center"/>
              <w:rPr>
                <w:rFonts w:ascii="Calibri" w:hAnsi="Calibri" w:cs="Arial"/>
                <w:b/>
                <w:color w:val="000000"/>
                <w:szCs w:val="24"/>
              </w:rPr>
            </w:pPr>
            <w:r w:rsidRPr="006F6087">
              <w:rPr>
                <w:rFonts w:cs="Arial"/>
                <w:b/>
                <w:color w:val="000000"/>
                <w:szCs w:val="24"/>
              </w:rPr>
              <w:t>£m</w:t>
            </w:r>
          </w:p>
        </w:tc>
        <w:tc>
          <w:tcPr>
            <w:tcW w:w="1378" w:type="dxa"/>
            <w:tcBorders>
              <w:top w:val="nil"/>
              <w:left w:val="nil"/>
              <w:bottom w:val="nil"/>
              <w:right w:val="nil"/>
            </w:tcBorders>
            <w:noWrap/>
            <w:vAlign w:val="bottom"/>
            <w:hideMark/>
          </w:tcPr>
          <w:p w:rsidR="00EC6F5B" w:rsidRPr="006F6087" w:rsidRDefault="00EC6F5B" w:rsidP="00EC6F5B">
            <w:pPr>
              <w:jc w:val="center"/>
              <w:rPr>
                <w:rFonts w:ascii="Calibri" w:hAnsi="Calibri" w:cs="Arial"/>
                <w:b/>
                <w:color w:val="000000"/>
                <w:szCs w:val="24"/>
              </w:rPr>
            </w:pPr>
            <w:r w:rsidRPr="006F6087">
              <w:rPr>
                <w:rFonts w:cs="Arial"/>
                <w:b/>
                <w:color w:val="000000"/>
                <w:szCs w:val="24"/>
              </w:rPr>
              <w:t>£m</w:t>
            </w:r>
          </w:p>
        </w:tc>
        <w:tc>
          <w:tcPr>
            <w:tcW w:w="1378" w:type="dxa"/>
            <w:tcBorders>
              <w:top w:val="nil"/>
              <w:left w:val="nil"/>
              <w:bottom w:val="nil"/>
              <w:right w:val="single" w:sz="4" w:space="0" w:color="auto"/>
            </w:tcBorders>
            <w:noWrap/>
            <w:vAlign w:val="bottom"/>
            <w:hideMark/>
          </w:tcPr>
          <w:p w:rsidR="00EC6F5B" w:rsidRPr="006F6087" w:rsidRDefault="00EC6F5B" w:rsidP="00EC6F5B">
            <w:pPr>
              <w:jc w:val="center"/>
              <w:rPr>
                <w:rFonts w:ascii="Calibri" w:hAnsi="Calibri" w:cs="Arial"/>
                <w:b/>
                <w:color w:val="000000"/>
                <w:szCs w:val="24"/>
              </w:rPr>
            </w:pPr>
            <w:r w:rsidRPr="006F6087">
              <w:rPr>
                <w:rFonts w:cs="Arial"/>
                <w:b/>
                <w:color w:val="000000"/>
                <w:szCs w:val="24"/>
              </w:rPr>
              <w:t>£m</w:t>
            </w:r>
          </w:p>
        </w:tc>
      </w:tr>
      <w:tr w:rsidR="00EC6F5B" w:rsidRPr="00B8682A" w:rsidTr="00FE4227">
        <w:trPr>
          <w:trHeight w:val="316"/>
        </w:trPr>
        <w:tc>
          <w:tcPr>
            <w:tcW w:w="4154" w:type="dxa"/>
            <w:tcBorders>
              <w:top w:val="nil"/>
              <w:left w:val="single" w:sz="4" w:space="0" w:color="auto"/>
              <w:bottom w:val="nil"/>
              <w:right w:val="nil"/>
            </w:tcBorders>
            <w:noWrap/>
            <w:vAlign w:val="bottom"/>
            <w:hideMark/>
          </w:tcPr>
          <w:p w:rsidR="00EC6F5B" w:rsidRPr="006F6087" w:rsidRDefault="00EC6F5B">
            <w:pPr>
              <w:rPr>
                <w:rFonts w:ascii="Calibri" w:hAnsi="Calibri" w:cs="Arial"/>
                <w:color w:val="000000"/>
                <w:szCs w:val="24"/>
              </w:rPr>
            </w:pPr>
            <w:r w:rsidRPr="006F6087">
              <w:rPr>
                <w:rFonts w:ascii="Calibri" w:hAnsi="Calibri" w:cs="Arial"/>
                <w:color w:val="000000"/>
                <w:szCs w:val="24"/>
              </w:rPr>
              <w:t> </w:t>
            </w:r>
          </w:p>
        </w:tc>
        <w:tc>
          <w:tcPr>
            <w:tcW w:w="1957" w:type="dxa"/>
            <w:tcBorders>
              <w:top w:val="nil"/>
              <w:left w:val="nil"/>
              <w:bottom w:val="nil"/>
              <w:right w:val="nil"/>
            </w:tcBorders>
            <w:noWrap/>
            <w:vAlign w:val="bottom"/>
            <w:hideMark/>
          </w:tcPr>
          <w:p w:rsidR="00EC6F5B" w:rsidRPr="006F6087" w:rsidRDefault="00EC6F5B">
            <w:pPr>
              <w:jc w:val="center"/>
              <w:rPr>
                <w:rFonts w:cs="Arial"/>
                <w:color w:val="000000"/>
                <w:szCs w:val="24"/>
              </w:rPr>
            </w:pPr>
          </w:p>
        </w:tc>
        <w:tc>
          <w:tcPr>
            <w:tcW w:w="1378" w:type="dxa"/>
            <w:tcBorders>
              <w:top w:val="nil"/>
              <w:left w:val="nil"/>
              <w:bottom w:val="nil"/>
              <w:right w:val="nil"/>
            </w:tcBorders>
            <w:noWrap/>
            <w:vAlign w:val="bottom"/>
            <w:hideMark/>
          </w:tcPr>
          <w:p w:rsidR="00EC6F5B" w:rsidRPr="006F6087" w:rsidRDefault="00EC6F5B">
            <w:pPr>
              <w:jc w:val="center"/>
              <w:rPr>
                <w:rFonts w:cs="Arial"/>
                <w:color w:val="000000"/>
                <w:szCs w:val="24"/>
              </w:rPr>
            </w:pPr>
          </w:p>
        </w:tc>
        <w:tc>
          <w:tcPr>
            <w:tcW w:w="1378" w:type="dxa"/>
            <w:tcBorders>
              <w:top w:val="nil"/>
              <w:left w:val="nil"/>
              <w:bottom w:val="nil"/>
              <w:right w:val="single" w:sz="4" w:space="0" w:color="auto"/>
            </w:tcBorders>
            <w:noWrap/>
            <w:vAlign w:val="bottom"/>
            <w:hideMark/>
          </w:tcPr>
          <w:p w:rsidR="00EC6F5B" w:rsidRPr="006F6087" w:rsidRDefault="00EC6F5B">
            <w:pPr>
              <w:jc w:val="center"/>
              <w:rPr>
                <w:rFonts w:cs="Arial"/>
                <w:color w:val="000000"/>
                <w:szCs w:val="24"/>
              </w:rPr>
            </w:pPr>
            <w:r w:rsidRPr="006F6087">
              <w:rPr>
                <w:rFonts w:ascii="Calibri" w:hAnsi="Calibri" w:cs="Arial"/>
                <w:color w:val="000000"/>
                <w:szCs w:val="24"/>
              </w:rPr>
              <w:t> </w:t>
            </w:r>
          </w:p>
        </w:tc>
      </w:tr>
      <w:tr w:rsidR="00EC6F5B" w:rsidRPr="00B8682A" w:rsidTr="00FE4227">
        <w:trPr>
          <w:trHeight w:val="316"/>
        </w:trPr>
        <w:tc>
          <w:tcPr>
            <w:tcW w:w="4154" w:type="dxa"/>
            <w:tcBorders>
              <w:top w:val="nil"/>
              <w:left w:val="single" w:sz="4" w:space="0" w:color="auto"/>
              <w:bottom w:val="nil"/>
              <w:right w:val="nil"/>
            </w:tcBorders>
            <w:noWrap/>
            <w:vAlign w:val="bottom"/>
            <w:hideMark/>
          </w:tcPr>
          <w:p w:rsidR="00EC6F5B" w:rsidRPr="006F6087" w:rsidRDefault="00EC6F5B" w:rsidP="00BC44F6">
            <w:pPr>
              <w:rPr>
                <w:rFonts w:ascii="Calibri" w:hAnsi="Calibri" w:cs="Arial"/>
                <w:color w:val="000000"/>
                <w:szCs w:val="24"/>
              </w:rPr>
            </w:pPr>
            <w:r w:rsidRPr="006F6087">
              <w:rPr>
                <w:rFonts w:cs="Arial"/>
                <w:color w:val="000000"/>
                <w:szCs w:val="24"/>
              </w:rPr>
              <w:t>Statutory Charge to Revenue</w:t>
            </w:r>
          </w:p>
        </w:tc>
        <w:tc>
          <w:tcPr>
            <w:tcW w:w="1957" w:type="dxa"/>
            <w:tcBorders>
              <w:top w:val="nil"/>
              <w:left w:val="nil"/>
              <w:bottom w:val="nil"/>
              <w:right w:val="nil"/>
            </w:tcBorders>
            <w:noWrap/>
            <w:vAlign w:val="bottom"/>
            <w:hideMark/>
          </w:tcPr>
          <w:p w:rsidR="00EC6F5B" w:rsidRPr="006F6087" w:rsidRDefault="00EC6F5B" w:rsidP="00EC6F5B">
            <w:pPr>
              <w:jc w:val="center"/>
              <w:rPr>
                <w:rFonts w:ascii="Calibri" w:hAnsi="Calibri" w:cs="Arial"/>
                <w:color w:val="000000"/>
                <w:szCs w:val="24"/>
              </w:rPr>
            </w:pPr>
            <w:r w:rsidRPr="006F6087">
              <w:rPr>
                <w:rFonts w:cs="Arial"/>
                <w:color w:val="000000"/>
                <w:szCs w:val="24"/>
              </w:rPr>
              <w:t>34.298</w:t>
            </w:r>
          </w:p>
        </w:tc>
        <w:tc>
          <w:tcPr>
            <w:tcW w:w="1378" w:type="dxa"/>
            <w:tcBorders>
              <w:top w:val="nil"/>
              <w:left w:val="nil"/>
              <w:bottom w:val="nil"/>
              <w:right w:val="nil"/>
            </w:tcBorders>
            <w:noWrap/>
            <w:vAlign w:val="bottom"/>
            <w:hideMark/>
          </w:tcPr>
          <w:p w:rsidR="00EC6F5B" w:rsidRPr="006F6087" w:rsidRDefault="00EC6F5B" w:rsidP="00EC6F5B">
            <w:pPr>
              <w:jc w:val="center"/>
              <w:rPr>
                <w:rFonts w:ascii="Calibri" w:hAnsi="Calibri" w:cs="Arial"/>
                <w:color w:val="000000"/>
                <w:szCs w:val="24"/>
              </w:rPr>
            </w:pPr>
            <w:r w:rsidRPr="006F6087">
              <w:rPr>
                <w:rFonts w:cs="Arial"/>
                <w:color w:val="000000"/>
                <w:szCs w:val="24"/>
              </w:rPr>
              <w:t>30.157</w:t>
            </w:r>
          </w:p>
        </w:tc>
        <w:tc>
          <w:tcPr>
            <w:tcW w:w="1378" w:type="dxa"/>
            <w:tcBorders>
              <w:top w:val="nil"/>
              <w:left w:val="nil"/>
              <w:bottom w:val="nil"/>
              <w:right w:val="single" w:sz="4" w:space="0" w:color="auto"/>
            </w:tcBorders>
            <w:noWrap/>
            <w:vAlign w:val="bottom"/>
            <w:hideMark/>
          </w:tcPr>
          <w:p w:rsidR="00EC6F5B" w:rsidRPr="006F6087" w:rsidRDefault="00EC6F5B" w:rsidP="00EC6F5B">
            <w:pPr>
              <w:jc w:val="center"/>
              <w:rPr>
                <w:rFonts w:ascii="Calibri" w:hAnsi="Calibri" w:cs="Arial"/>
                <w:color w:val="000000"/>
                <w:szCs w:val="24"/>
              </w:rPr>
            </w:pPr>
            <w:r w:rsidRPr="006F6087">
              <w:rPr>
                <w:rFonts w:cs="Arial"/>
                <w:color w:val="000000"/>
                <w:szCs w:val="24"/>
              </w:rPr>
              <w:t>-4.141</w:t>
            </w:r>
          </w:p>
        </w:tc>
      </w:tr>
      <w:tr w:rsidR="00EC6F5B" w:rsidRPr="00B8682A" w:rsidTr="00FE4227">
        <w:trPr>
          <w:trHeight w:val="316"/>
        </w:trPr>
        <w:tc>
          <w:tcPr>
            <w:tcW w:w="4154" w:type="dxa"/>
            <w:tcBorders>
              <w:top w:val="nil"/>
              <w:left w:val="single" w:sz="4" w:space="0" w:color="auto"/>
              <w:bottom w:val="nil"/>
              <w:right w:val="nil"/>
            </w:tcBorders>
            <w:noWrap/>
            <w:vAlign w:val="bottom"/>
            <w:hideMark/>
          </w:tcPr>
          <w:p w:rsidR="00EC6F5B" w:rsidRPr="006F6087" w:rsidRDefault="00EC6F5B" w:rsidP="00BC44F6">
            <w:pPr>
              <w:rPr>
                <w:rFonts w:cs="Arial"/>
                <w:color w:val="000000"/>
                <w:szCs w:val="24"/>
              </w:rPr>
            </w:pPr>
          </w:p>
        </w:tc>
        <w:tc>
          <w:tcPr>
            <w:tcW w:w="1957" w:type="dxa"/>
            <w:tcBorders>
              <w:top w:val="nil"/>
              <w:left w:val="nil"/>
              <w:bottom w:val="nil"/>
              <w:right w:val="nil"/>
            </w:tcBorders>
            <w:noWrap/>
            <w:vAlign w:val="bottom"/>
            <w:hideMark/>
          </w:tcPr>
          <w:p w:rsidR="00EC6F5B" w:rsidRPr="006F6087" w:rsidRDefault="00EC6F5B" w:rsidP="00EC6F5B">
            <w:pPr>
              <w:jc w:val="center"/>
              <w:rPr>
                <w:rFonts w:cs="Arial"/>
                <w:color w:val="000000"/>
                <w:szCs w:val="24"/>
              </w:rPr>
            </w:pPr>
          </w:p>
        </w:tc>
        <w:tc>
          <w:tcPr>
            <w:tcW w:w="1378" w:type="dxa"/>
            <w:tcBorders>
              <w:top w:val="nil"/>
              <w:left w:val="nil"/>
              <w:bottom w:val="nil"/>
              <w:right w:val="nil"/>
            </w:tcBorders>
            <w:noWrap/>
            <w:vAlign w:val="bottom"/>
            <w:hideMark/>
          </w:tcPr>
          <w:p w:rsidR="00EC6F5B" w:rsidRPr="006F6087" w:rsidRDefault="00EC6F5B" w:rsidP="00EC6F5B">
            <w:pPr>
              <w:jc w:val="center"/>
              <w:rPr>
                <w:rFonts w:cs="Arial"/>
                <w:color w:val="000000"/>
                <w:szCs w:val="24"/>
              </w:rPr>
            </w:pPr>
          </w:p>
        </w:tc>
        <w:tc>
          <w:tcPr>
            <w:tcW w:w="1378" w:type="dxa"/>
            <w:tcBorders>
              <w:top w:val="nil"/>
              <w:left w:val="nil"/>
              <w:bottom w:val="nil"/>
              <w:right w:val="single" w:sz="4" w:space="0" w:color="auto"/>
            </w:tcBorders>
            <w:noWrap/>
            <w:vAlign w:val="bottom"/>
            <w:hideMark/>
          </w:tcPr>
          <w:p w:rsidR="00EC6F5B" w:rsidRPr="006F6087" w:rsidRDefault="00EC6F5B" w:rsidP="00EC6F5B">
            <w:pPr>
              <w:jc w:val="center"/>
              <w:rPr>
                <w:rFonts w:cs="Arial"/>
                <w:color w:val="000000"/>
                <w:szCs w:val="24"/>
              </w:rPr>
            </w:pPr>
          </w:p>
        </w:tc>
      </w:tr>
      <w:tr w:rsidR="00EC6F5B" w:rsidRPr="00B8682A" w:rsidTr="00FE4227">
        <w:trPr>
          <w:trHeight w:val="316"/>
        </w:trPr>
        <w:tc>
          <w:tcPr>
            <w:tcW w:w="4154" w:type="dxa"/>
            <w:tcBorders>
              <w:top w:val="nil"/>
              <w:left w:val="single" w:sz="4" w:space="0" w:color="auto"/>
              <w:bottom w:val="nil"/>
              <w:right w:val="nil"/>
            </w:tcBorders>
            <w:noWrap/>
            <w:vAlign w:val="bottom"/>
            <w:hideMark/>
          </w:tcPr>
          <w:p w:rsidR="00EC6F5B" w:rsidRPr="006F6087" w:rsidRDefault="00EC6F5B" w:rsidP="00BC44F6">
            <w:pPr>
              <w:rPr>
                <w:rFonts w:cs="Arial"/>
                <w:color w:val="000000"/>
                <w:szCs w:val="24"/>
              </w:rPr>
            </w:pPr>
            <w:r w:rsidRPr="006F6087">
              <w:rPr>
                <w:rFonts w:cs="Arial"/>
                <w:color w:val="000000"/>
                <w:szCs w:val="24"/>
              </w:rPr>
              <w:t>Interest paid</w:t>
            </w:r>
          </w:p>
        </w:tc>
        <w:tc>
          <w:tcPr>
            <w:tcW w:w="1957" w:type="dxa"/>
            <w:tcBorders>
              <w:top w:val="nil"/>
              <w:left w:val="nil"/>
              <w:bottom w:val="nil"/>
              <w:right w:val="nil"/>
            </w:tcBorders>
            <w:noWrap/>
            <w:vAlign w:val="bottom"/>
            <w:hideMark/>
          </w:tcPr>
          <w:p w:rsidR="00EC6F5B" w:rsidRPr="006F6087" w:rsidRDefault="00EC6F5B" w:rsidP="00EC6F5B">
            <w:pPr>
              <w:jc w:val="center"/>
              <w:rPr>
                <w:rFonts w:cs="Arial"/>
                <w:color w:val="000000"/>
                <w:szCs w:val="24"/>
              </w:rPr>
            </w:pPr>
            <w:r w:rsidRPr="006F6087">
              <w:rPr>
                <w:rFonts w:cs="Arial"/>
                <w:color w:val="000000"/>
                <w:szCs w:val="24"/>
              </w:rPr>
              <w:t>22.475</w:t>
            </w:r>
          </w:p>
        </w:tc>
        <w:tc>
          <w:tcPr>
            <w:tcW w:w="1378" w:type="dxa"/>
            <w:tcBorders>
              <w:top w:val="nil"/>
              <w:left w:val="nil"/>
              <w:bottom w:val="nil"/>
              <w:right w:val="nil"/>
            </w:tcBorders>
            <w:noWrap/>
            <w:vAlign w:val="bottom"/>
            <w:hideMark/>
          </w:tcPr>
          <w:p w:rsidR="00EC6F5B" w:rsidRPr="006F6087" w:rsidRDefault="00EC6F5B" w:rsidP="00EC6F5B">
            <w:pPr>
              <w:jc w:val="center"/>
              <w:rPr>
                <w:rFonts w:cs="Arial"/>
                <w:color w:val="000000"/>
                <w:szCs w:val="24"/>
              </w:rPr>
            </w:pPr>
            <w:r w:rsidRPr="006F6087">
              <w:rPr>
                <w:rFonts w:cs="Arial"/>
                <w:color w:val="000000"/>
                <w:szCs w:val="24"/>
              </w:rPr>
              <w:t>22.033</w:t>
            </w:r>
          </w:p>
        </w:tc>
        <w:tc>
          <w:tcPr>
            <w:tcW w:w="1378" w:type="dxa"/>
            <w:tcBorders>
              <w:top w:val="nil"/>
              <w:left w:val="nil"/>
              <w:bottom w:val="nil"/>
              <w:right w:val="single" w:sz="4" w:space="0" w:color="auto"/>
            </w:tcBorders>
            <w:noWrap/>
            <w:vAlign w:val="bottom"/>
            <w:hideMark/>
          </w:tcPr>
          <w:p w:rsidR="00EC6F5B" w:rsidRPr="006F6087" w:rsidRDefault="00EC6F5B" w:rsidP="00EC6F5B">
            <w:pPr>
              <w:jc w:val="center"/>
              <w:rPr>
                <w:rFonts w:cs="Arial"/>
                <w:color w:val="000000"/>
                <w:szCs w:val="24"/>
              </w:rPr>
            </w:pPr>
            <w:r w:rsidRPr="006F6087">
              <w:rPr>
                <w:rFonts w:cs="Arial"/>
                <w:color w:val="000000"/>
                <w:szCs w:val="24"/>
              </w:rPr>
              <w:t>-0.442</w:t>
            </w:r>
          </w:p>
        </w:tc>
      </w:tr>
      <w:tr w:rsidR="00EC6F5B" w:rsidRPr="00B8682A" w:rsidTr="00FE4227">
        <w:trPr>
          <w:trHeight w:val="316"/>
        </w:trPr>
        <w:tc>
          <w:tcPr>
            <w:tcW w:w="4154" w:type="dxa"/>
            <w:tcBorders>
              <w:top w:val="nil"/>
              <w:left w:val="single" w:sz="4" w:space="0" w:color="auto"/>
              <w:bottom w:val="nil"/>
              <w:right w:val="nil"/>
            </w:tcBorders>
            <w:noWrap/>
            <w:vAlign w:val="bottom"/>
            <w:hideMark/>
          </w:tcPr>
          <w:p w:rsidR="00EC6F5B" w:rsidRPr="006F6087" w:rsidRDefault="00EC6F5B" w:rsidP="00BC44F6">
            <w:pPr>
              <w:rPr>
                <w:rFonts w:cs="Arial"/>
                <w:color w:val="000000"/>
                <w:szCs w:val="24"/>
              </w:rPr>
            </w:pPr>
          </w:p>
        </w:tc>
        <w:tc>
          <w:tcPr>
            <w:tcW w:w="1957" w:type="dxa"/>
            <w:tcBorders>
              <w:top w:val="nil"/>
              <w:left w:val="nil"/>
              <w:bottom w:val="nil"/>
              <w:right w:val="nil"/>
            </w:tcBorders>
            <w:noWrap/>
            <w:vAlign w:val="bottom"/>
            <w:hideMark/>
          </w:tcPr>
          <w:p w:rsidR="00EC6F5B" w:rsidRPr="006F6087" w:rsidRDefault="00EC6F5B" w:rsidP="00EC6F5B">
            <w:pPr>
              <w:jc w:val="center"/>
              <w:rPr>
                <w:rFonts w:cs="Arial"/>
                <w:color w:val="000000"/>
                <w:szCs w:val="24"/>
              </w:rPr>
            </w:pPr>
          </w:p>
        </w:tc>
        <w:tc>
          <w:tcPr>
            <w:tcW w:w="1378" w:type="dxa"/>
            <w:tcBorders>
              <w:top w:val="nil"/>
              <w:left w:val="nil"/>
              <w:bottom w:val="nil"/>
              <w:right w:val="nil"/>
            </w:tcBorders>
            <w:noWrap/>
            <w:vAlign w:val="bottom"/>
            <w:hideMark/>
          </w:tcPr>
          <w:p w:rsidR="00EC6F5B" w:rsidRPr="006F6087" w:rsidRDefault="00EC6F5B" w:rsidP="00EC6F5B">
            <w:pPr>
              <w:jc w:val="center"/>
              <w:rPr>
                <w:rFonts w:cs="Arial"/>
                <w:color w:val="000000"/>
                <w:szCs w:val="24"/>
              </w:rPr>
            </w:pPr>
          </w:p>
        </w:tc>
        <w:tc>
          <w:tcPr>
            <w:tcW w:w="1378" w:type="dxa"/>
            <w:tcBorders>
              <w:top w:val="nil"/>
              <w:left w:val="nil"/>
              <w:bottom w:val="nil"/>
              <w:right w:val="single" w:sz="4" w:space="0" w:color="auto"/>
            </w:tcBorders>
            <w:noWrap/>
            <w:vAlign w:val="bottom"/>
            <w:hideMark/>
          </w:tcPr>
          <w:p w:rsidR="00EC6F5B" w:rsidRPr="006F6087" w:rsidRDefault="00EC6F5B" w:rsidP="00EC6F5B">
            <w:pPr>
              <w:jc w:val="center"/>
              <w:rPr>
                <w:rFonts w:cs="Arial"/>
                <w:color w:val="000000"/>
                <w:szCs w:val="24"/>
              </w:rPr>
            </w:pPr>
          </w:p>
        </w:tc>
      </w:tr>
      <w:tr w:rsidR="00EC6F5B" w:rsidRPr="00B8682A" w:rsidTr="00FE4227">
        <w:trPr>
          <w:trHeight w:val="316"/>
        </w:trPr>
        <w:tc>
          <w:tcPr>
            <w:tcW w:w="4154" w:type="dxa"/>
            <w:tcBorders>
              <w:top w:val="nil"/>
              <w:left w:val="single" w:sz="4" w:space="0" w:color="auto"/>
              <w:bottom w:val="nil"/>
              <w:right w:val="nil"/>
            </w:tcBorders>
            <w:noWrap/>
            <w:vAlign w:val="bottom"/>
            <w:hideMark/>
          </w:tcPr>
          <w:p w:rsidR="00EC6F5B" w:rsidRPr="006F6087" w:rsidRDefault="00EC6F5B" w:rsidP="00BC44F6">
            <w:pPr>
              <w:rPr>
                <w:rFonts w:ascii="Calibri" w:hAnsi="Calibri" w:cs="Arial"/>
                <w:color w:val="000000"/>
                <w:szCs w:val="24"/>
              </w:rPr>
            </w:pPr>
            <w:r w:rsidRPr="006F6087">
              <w:rPr>
                <w:rFonts w:cs="Arial"/>
                <w:color w:val="000000"/>
                <w:szCs w:val="24"/>
              </w:rPr>
              <w:t>Investment interest received</w:t>
            </w:r>
          </w:p>
        </w:tc>
        <w:tc>
          <w:tcPr>
            <w:tcW w:w="1957" w:type="dxa"/>
            <w:tcBorders>
              <w:top w:val="nil"/>
              <w:left w:val="nil"/>
              <w:bottom w:val="nil"/>
              <w:right w:val="nil"/>
            </w:tcBorders>
            <w:noWrap/>
            <w:vAlign w:val="bottom"/>
            <w:hideMark/>
          </w:tcPr>
          <w:p w:rsidR="00EC6F5B" w:rsidRPr="006F6087" w:rsidRDefault="00EC6F5B" w:rsidP="00EC6F5B">
            <w:pPr>
              <w:jc w:val="center"/>
              <w:rPr>
                <w:rFonts w:ascii="Calibri" w:hAnsi="Calibri" w:cs="Arial"/>
                <w:color w:val="000000"/>
                <w:szCs w:val="24"/>
              </w:rPr>
            </w:pPr>
            <w:r w:rsidRPr="006F6087">
              <w:rPr>
                <w:rFonts w:cs="Arial"/>
                <w:color w:val="000000"/>
                <w:szCs w:val="24"/>
              </w:rPr>
              <w:t>-18.931</w:t>
            </w:r>
          </w:p>
        </w:tc>
        <w:tc>
          <w:tcPr>
            <w:tcW w:w="1378" w:type="dxa"/>
            <w:tcBorders>
              <w:top w:val="nil"/>
              <w:left w:val="nil"/>
              <w:bottom w:val="nil"/>
              <w:right w:val="nil"/>
            </w:tcBorders>
            <w:noWrap/>
            <w:vAlign w:val="bottom"/>
            <w:hideMark/>
          </w:tcPr>
          <w:p w:rsidR="00EC6F5B" w:rsidRPr="006F6087" w:rsidRDefault="00EC6F5B" w:rsidP="00EC6F5B">
            <w:pPr>
              <w:jc w:val="center"/>
              <w:rPr>
                <w:rFonts w:ascii="Calibri" w:hAnsi="Calibri" w:cs="Arial"/>
                <w:color w:val="000000"/>
                <w:szCs w:val="24"/>
              </w:rPr>
            </w:pPr>
            <w:r w:rsidRPr="006F6087">
              <w:rPr>
                <w:rFonts w:cs="Arial"/>
                <w:color w:val="000000"/>
                <w:szCs w:val="24"/>
              </w:rPr>
              <w:t>-83.931</w:t>
            </w:r>
          </w:p>
        </w:tc>
        <w:tc>
          <w:tcPr>
            <w:tcW w:w="1378" w:type="dxa"/>
            <w:tcBorders>
              <w:top w:val="nil"/>
              <w:left w:val="nil"/>
              <w:bottom w:val="nil"/>
              <w:right w:val="single" w:sz="4" w:space="0" w:color="auto"/>
            </w:tcBorders>
            <w:noWrap/>
            <w:vAlign w:val="bottom"/>
            <w:hideMark/>
          </w:tcPr>
          <w:p w:rsidR="00EC6F5B" w:rsidRPr="006F6087" w:rsidRDefault="00EC6F5B" w:rsidP="00EC6F5B">
            <w:pPr>
              <w:jc w:val="center"/>
              <w:rPr>
                <w:rFonts w:ascii="Calibri" w:hAnsi="Calibri" w:cs="Arial"/>
                <w:color w:val="000000"/>
                <w:szCs w:val="24"/>
              </w:rPr>
            </w:pPr>
            <w:r w:rsidRPr="006F6087">
              <w:rPr>
                <w:rFonts w:cs="Arial"/>
                <w:color w:val="000000"/>
                <w:szCs w:val="24"/>
              </w:rPr>
              <w:t>-65.000</w:t>
            </w:r>
          </w:p>
        </w:tc>
      </w:tr>
      <w:tr w:rsidR="00EC6F5B" w:rsidRPr="00B8682A" w:rsidTr="00FE4227">
        <w:trPr>
          <w:trHeight w:val="316"/>
        </w:trPr>
        <w:tc>
          <w:tcPr>
            <w:tcW w:w="4154" w:type="dxa"/>
            <w:tcBorders>
              <w:top w:val="nil"/>
              <w:left w:val="single" w:sz="4" w:space="0" w:color="auto"/>
              <w:bottom w:val="nil"/>
              <w:right w:val="nil"/>
            </w:tcBorders>
            <w:noWrap/>
            <w:vAlign w:val="bottom"/>
            <w:hideMark/>
          </w:tcPr>
          <w:p w:rsidR="00EC6F5B" w:rsidRPr="006F6087" w:rsidRDefault="00EC6F5B" w:rsidP="00BC44F6">
            <w:pPr>
              <w:rPr>
                <w:rFonts w:cs="Arial"/>
                <w:color w:val="000000"/>
                <w:szCs w:val="24"/>
              </w:rPr>
            </w:pPr>
            <w:r w:rsidRPr="006F6087">
              <w:rPr>
                <w:rFonts w:ascii="Calibri" w:hAnsi="Calibri" w:cs="Arial"/>
                <w:color w:val="000000"/>
                <w:szCs w:val="24"/>
              </w:rPr>
              <w:t> </w:t>
            </w:r>
          </w:p>
        </w:tc>
        <w:tc>
          <w:tcPr>
            <w:tcW w:w="1957" w:type="dxa"/>
            <w:tcBorders>
              <w:top w:val="nil"/>
              <w:left w:val="nil"/>
              <w:bottom w:val="nil"/>
              <w:right w:val="nil"/>
            </w:tcBorders>
            <w:noWrap/>
            <w:vAlign w:val="bottom"/>
            <w:hideMark/>
          </w:tcPr>
          <w:p w:rsidR="00EC6F5B" w:rsidRPr="006F6087" w:rsidRDefault="00EC6F5B">
            <w:pPr>
              <w:jc w:val="right"/>
              <w:rPr>
                <w:rFonts w:cs="Arial"/>
                <w:color w:val="000000"/>
                <w:szCs w:val="24"/>
              </w:rPr>
            </w:pPr>
          </w:p>
        </w:tc>
        <w:tc>
          <w:tcPr>
            <w:tcW w:w="1378" w:type="dxa"/>
            <w:tcBorders>
              <w:top w:val="nil"/>
              <w:left w:val="nil"/>
              <w:bottom w:val="nil"/>
              <w:right w:val="nil"/>
            </w:tcBorders>
            <w:noWrap/>
            <w:vAlign w:val="bottom"/>
            <w:hideMark/>
          </w:tcPr>
          <w:p w:rsidR="00EC6F5B" w:rsidRPr="006F6087" w:rsidRDefault="00EC6F5B" w:rsidP="0090107F">
            <w:pPr>
              <w:jc w:val="right"/>
              <w:rPr>
                <w:rFonts w:cs="Arial"/>
                <w:color w:val="000000"/>
                <w:szCs w:val="24"/>
              </w:rPr>
            </w:pPr>
          </w:p>
        </w:tc>
        <w:tc>
          <w:tcPr>
            <w:tcW w:w="1378" w:type="dxa"/>
            <w:tcBorders>
              <w:top w:val="nil"/>
              <w:left w:val="nil"/>
              <w:bottom w:val="nil"/>
              <w:right w:val="single" w:sz="4" w:space="0" w:color="auto"/>
            </w:tcBorders>
            <w:noWrap/>
            <w:vAlign w:val="bottom"/>
            <w:hideMark/>
          </w:tcPr>
          <w:p w:rsidR="00EC6F5B" w:rsidRPr="006F6087" w:rsidRDefault="00EC6F5B" w:rsidP="00B8682A">
            <w:pPr>
              <w:jc w:val="right"/>
              <w:rPr>
                <w:rFonts w:cs="Arial"/>
                <w:color w:val="000000"/>
                <w:szCs w:val="24"/>
              </w:rPr>
            </w:pPr>
            <w:r w:rsidRPr="006F6087">
              <w:rPr>
                <w:rFonts w:ascii="Calibri" w:hAnsi="Calibri" w:cs="Arial"/>
                <w:color w:val="000000"/>
                <w:szCs w:val="24"/>
              </w:rPr>
              <w:t> </w:t>
            </w:r>
          </w:p>
        </w:tc>
      </w:tr>
      <w:tr w:rsidR="00EC6F5B" w:rsidRPr="00B8682A" w:rsidTr="00FE4227">
        <w:trPr>
          <w:trHeight w:val="316"/>
        </w:trPr>
        <w:tc>
          <w:tcPr>
            <w:tcW w:w="4154" w:type="dxa"/>
            <w:tcBorders>
              <w:top w:val="nil"/>
              <w:left w:val="single" w:sz="4" w:space="0" w:color="auto"/>
              <w:bottom w:val="single" w:sz="4" w:space="0" w:color="auto"/>
              <w:right w:val="nil"/>
            </w:tcBorders>
            <w:noWrap/>
            <w:vAlign w:val="bottom"/>
            <w:hideMark/>
          </w:tcPr>
          <w:p w:rsidR="00EC6F5B" w:rsidRPr="006F6087" w:rsidRDefault="00EC6F5B" w:rsidP="00BC44F6">
            <w:pPr>
              <w:rPr>
                <w:rFonts w:ascii="Calibri" w:hAnsi="Calibri" w:cs="Arial"/>
                <w:color w:val="000000"/>
                <w:szCs w:val="24"/>
              </w:rPr>
            </w:pPr>
            <w:r w:rsidRPr="006F6087">
              <w:rPr>
                <w:rFonts w:cs="Arial"/>
                <w:b/>
                <w:bCs/>
                <w:color w:val="000000"/>
                <w:szCs w:val="24"/>
              </w:rPr>
              <w:t>Total Net Financing charges</w:t>
            </w:r>
          </w:p>
        </w:tc>
        <w:tc>
          <w:tcPr>
            <w:tcW w:w="1957" w:type="dxa"/>
            <w:tcBorders>
              <w:top w:val="nil"/>
              <w:left w:val="nil"/>
              <w:bottom w:val="single" w:sz="4" w:space="0" w:color="auto"/>
              <w:right w:val="nil"/>
            </w:tcBorders>
            <w:noWrap/>
            <w:vAlign w:val="bottom"/>
            <w:hideMark/>
          </w:tcPr>
          <w:p w:rsidR="00EC6F5B" w:rsidRPr="006F6087" w:rsidRDefault="00EC6F5B" w:rsidP="00BC44F6">
            <w:pPr>
              <w:jc w:val="center"/>
              <w:rPr>
                <w:rFonts w:ascii="Calibri" w:hAnsi="Calibri" w:cs="Arial"/>
                <w:color w:val="000000"/>
                <w:szCs w:val="24"/>
              </w:rPr>
            </w:pPr>
            <w:r w:rsidRPr="006F6087">
              <w:rPr>
                <w:rFonts w:cs="Arial"/>
                <w:b/>
                <w:bCs/>
                <w:color w:val="000000"/>
                <w:szCs w:val="24"/>
              </w:rPr>
              <w:t>37.842</w:t>
            </w:r>
          </w:p>
        </w:tc>
        <w:tc>
          <w:tcPr>
            <w:tcW w:w="1378" w:type="dxa"/>
            <w:tcBorders>
              <w:top w:val="nil"/>
              <w:left w:val="nil"/>
              <w:bottom w:val="single" w:sz="4" w:space="0" w:color="auto"/>
              <w:right w:val="nil"/>
            </w:tcBorders>
            <w:noWrap/>
            <w:vAlign w:val="bottom"/>
            <w:hideMark/>
          </w:tcPr>
          <w:p w:rsidR="00EC6F5B" w:rsidRPr="006F6087" w:rsidRDefault="00EC6F5B" w:rsidP="00BC44F6">
            <w:pPr>
              <w:jc w:val="center"/>
              <w:rPr>
                <w:rFonts w:ascii="Calibri" w:hAnsi="Calibri" w:cs="Arial"/>
                <w:color w:val="000000"/>
                <w:szCs w:val="24"/>
              </w:rPr>
            </w:pPr>
            <w:r w:rsidRPr="006F6087">
              <w:rPr>
                <w:rFonts w:cs="Arial"/>
                <w:b/>
                <w:bCs/>
                <w:color w:val="000000"/>
                <w:szCs w:val="24"/>
              </w:rPr>
              <w:t>-31.741</w:t>
            </w:r>
          </w:p>
        </w:tc>
        <w:tc>
          <w:tcPr>
            <w:tcW w:w="1378" w:type="dxa"/>
            <w:tcBorders>
              <w:top w:val="nil"/>
              <w:left w:val="nil"/>
              <w:bottom w:val="single" w:sz="4" w:space="0" w:color="auto"/>
              <w:right w:val="single" w:sz="4" w:space="0" w:color="auto"/>
            </w:tcBorders>
            <w:noWrap/>
            <w:vAlign w:val="bottom"/>
            <w:hideMark/>
          </w:tcPr>
          <w:p w:rsidR="006F6087" w:rsidRPr="006F6087" w:rsidRDefault="00EC6F5B" w:rsidP="006F6087">
            <w:pPr>
              <w:jc w:val="center"/>
              <w:rPr>
                <w:rFonts w:cs="Arial"/>
                <w:b/>
                <w:bCs/>
                <w:color w:val="000000"/>
                <w:szCs w:val="24"/>
              </w:rPr>
            </w:pPr>
            <w:r w:rsidRPr="006F6087">
              <w:rPr>
                <w:rFonts w:cs="Arial"/>
                <w:b/>
                <w:bCs/>
                <w:color w:val="000000"/>
                <w:szCs w:val="24"/>
              </w:rPr>
              <w:t>-69.583</w:t>
            </w:r>
          </w:p>
        </w:tc>
      </w:tr>
    </w:tbl>
    <w:p w:rsidR="00A0368D" w:rsidRPr="002A5898" w:rsidRDefault="00A0368D" w:rsidP="00A15E9F">
      <w:pPr>
        <w:rPr>
          <w:rFonts w:cs="Arial"/>
          <w:color w:val="000000" w:themeColor="text1"/>
          <w:szCs w:val="24"/>
          <w:highlight w:val="yellow"/>
        </w:rPr>
      </w:pPr>
    </w:p>
    <w:p w:rsidR="00D57100" w:rsidRPr="00B8682A" w:rsidRDefault="00F26B74" w:rsidP="00D57100">
      <w:pPr>
        <w:rPr>
          <w:b/>
          <w:szCs w:val="24"/>
        </w:rPr>
      </w:pPr>
      <w:r>
        <w:rPr>
          <w:rFonts w:cs="Arial"/>
          <w:b/>
          <w:color w:val="000000" w:themeColor="text1"/>
          <w:szCs w:val="24"/>
        </w:rPr>
        <w:t>7.</w:t>
      </w:r>
      <w:r w:rsidR="00D57100" w:rsidRPr="00B8682A">
        <w:rPr>
          <w:b/>
          <w:szCs w:val="24"/>
        </w:rPr>
        <w:t xml:space="preserve"> Treasury </w:t>
      </w:r>
      <w:r w:rsidR="00010062" w:rsidRPr="00B8682A">
        <w:rPr>
          <w:b/>
          <w:szCs w:val="24"/>
        </w:rPr>
        <w:t>Management and</w:t>
      </w:r>
      <w:r w:rsidR="00D57100" w:rsidRPr="00B8682A">
        <w:rPr>
          <w:b/>
          <w:szCs w:val="24"/>
        </w:rPr>
        <w:t xml:space="preserve"> Prudential Indicators 201</w:t>
      </w:r>
      <w:r w:rsidR="00B8682A" w:rsidRPr="00B8682A">
        <w:rPr>
          <w:b/>
          <w:szCs w:val="24"/>
        </w:rPr>
        <w:t>4/15</w:t>
      </w:r>
    </w:p>
    <w:p w:rsidR="00D57100" w:rsidRPr="00B8682A" w:rsidRDefault="00D57100" w:rsidP="00A15E9F">
      <w:pPr>
        <w:autoSpaceDE w:val="0"/>
        <w:autoSpaceDN w:val="0"/>
        <w:rPr>
          <w:b/>
          <w:color w:val="000000" w:themeColor="text1"/>
        </w:rPr>
      </w:pPr>
    </w:p>
    <w:p w:rsidR="00D57100" w:rsidRPr="002F4C6D" w:rsidRDefault="00D57100" w:rsidP="002F4C6D">
      <w:pPr>
        <w:jc w:val="both"/>
        <w:rPr>
          <w:rFonts w:cs="Arial"/>
          <w:b/>
          <w:szCs w:val="24"/>
        </w:rPr>
      </w:pPr>
      <w:r w:rsidRPr="002F4C6D">
        <w:rPr>
          <w:rFonts w:cs="Arial"/>
          <w:szCs w:val="24"/>
        </w:rPr>
        <w:t>The Local Government Act 2003 and supporting regulations require the County Council to have regard to the prudential code and to set prudential indicators to ensure the County Council's capital investment plans are affordable, prudent and sustainable</w:t>
      </w:r>
      <w:r w:rsidRPr="002F4C6D">
        <w:rPr>
          <w:rFonts w:cs="Arial"/>
          <w:b/>
          <w:szCs w:val="24"/>
        </w:rPr>
        <w:t>.</w:t>
      </w:r>
    </w:p>
    <w:p w:rsidR="000B71C1" w:rsidRPr="002F4C6D" w:rsidRDefault="000B71C1" w:rsidP="002F4C6D">
      <w:pPr>
        <w:jc w:val="both"/>
        <w:rPr>
          <w:rFonts w:cs="Arial"/>
          <w:b/>
          <w:szCs w:val="24"/>
        </w:rPr>
      </w:pPr>
    </w:p>
    <w:p w:rsidR="000B71C1" w:rsidRPr="002F4C6D" w:rsidRDefault="00D57100" w:rsidP="002F4C6D">
      <w:pPr>
        <w:jc w:val="both"/>
        <w:rPr>
          <w:rFonts w:cs="Arial"/>
          <w:szCs w:val="24"/>
          <w:highlight w:val="yellow"/>
        </w:rPr>
      </w:pPr>
      <w:r w:rsidRPr="002F4C6D">
        <w:rPr>
          <w:rFonts w:cs="Arial"/>
          <w:szCs w:val="24"/>
        </w:rPr>
        <w:t xml:space="preserve">A comparison of the actual position </w:t>
      </w:r>
      <w:r w:rsidR="00EC6F5B">
        <w:rPr>
          <w:rFonts w:cs="Arial"/>
          <w:szCs w:val="24"/>
        </w:rPr>
        <w:t xml:space="preserve">as </w:t>
      </w:r>
      <w:r w:rsidRPr="002F4C6D">
        <w:rPr>
          <w:rFonts w:cs="Arial"/>
          <w:szCs w:val="24"/>
        </w:rPr>
        <w:t>at</w:t>
      </w:r>
      <w:r w:rsidR="00B8682A" w:rsidRPr="002F4C6D">
        <w:rPr>
          <w:rFonts w:cs="Arial"/>
          <w:szCs w:val="24"/>
        </w:rPr>
        <w:t xml:space="preserve"> 31 March 2015 </w:t>
      </w:r>
      <w:r w:rsidR="00F651A4" w:rsidRPr="002F4C6D">
        <w:rPr>
          <w:rFonts w:cs="Arial"/>
          <w:szCs w:val="24"/>
        </w:rPr>
        <w:t xml:space="preserve">compared to the </w:t>
      </w:r>
      <w:r w:rsidRPr="002F4C6D">
        <w:rPr>
          <w:rFonts w:cs="Arial"/>
          <w:szCs w:val="24"/>
        </w:rPr>
        <w:t>indicators set in the treas</w:t>
      </w:r>
      <w:r w:rsidR="00B8682A" w:rsidRPr="002F4C6D">
        <w:rPr>
          <w:rFonts w:cs="Arial"/>
          <w:szCs w:val="24"/>
        </w:rPr>
        <w:t>ury management strategy for 2014/15</w:t>
      </w:r>
      <w:r w:rsidRPr="002F4C6D">
        <w:rPr>
          <w:rFonts w:cs="Arial"/>
          <w:szCs w:val="24"/>
        </w:rPr>
        <w:t xml:space="preserve"> is set out below</w:t>
      </w:r>
      <w:r w:rsidR="005B5F7A" w:rsidRPr="002F4C6D">
        <w:rPr>
          <w:rFonts w:cs="Arial"/>
          <w:szCs w:val="24"/>
        </w:rPr>
        <w:t>.</w:t>
      </w:r>
    </w:p>
    <w:p w:rsidR="000B71C1" w:rsidRPr="002F4C6D" w:rsidRDefault="000B71C1" w:rsidP="002F4C6D">
      <w:pPr>
        <w:jc w:val="both"/>
        <w:rPr>
          <w:rFonts w:cs="Arial"/>
          <w:szCs w:val="24"/>
          <w:highlight w:val="yellow"/>
        </w:rPr>
      </w:pPr>
    </w:p>
    <w:tbl>
      <w:tblPr>
        <w:tblW w:w="9244" w:type="dxa"/>
        <w:tblLook w:val="04A0" w:firstRow="1" w:lastRow="0" w:firstColumn="1" w:lastColumn="0" w:noHBand="0" w:noVBand="1"/>
      </w:tblPr>
      <w:tblGrid>
        <w:gridCol w:w="417"/>
        <w:gridCol w:w="6323"/>
        <w:gridCol w:w="222"/>
        <w:gridCol w:w="1213"/>
        <w:gridCol w:w="1084"/>
      </w:tblGrid>
      <w:tr w:rsidR="00EB4425" w:rsidRPr="006F6087" w:rsidTr="00EB4425">
        <w:trPr>
          <w:trHeight w:val="327"/>
        </w:trPr>
        <w:tc>
          <w:tcPr>
            <w:tcW w:w="413"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szCs w:val="24"/>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2014/15</w:t>
            </w: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2014/15</w:t>
            </w:r>
          </w:p>
        </w:tc>
      </w:tr>
      <w:tr w:rsidR="00EB4425" w:rsidRPr="006F6087" w:rsidTr="00EB4425">
        <w:trPr>
          <w:trHeight w:val="327"/>
        </w:trPr>
        <w:tc>
          <w:tcPr>
            <w:tcW w:w="413"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Revised</w:t>
            </w: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p>
        </w:tc>
      </w:tr>
      <w:tr w:rsidR="00EB4425" w:rsidRPr="006F6087" w:rsidTr="00EB4425">
        <w:trPr>
          <w:trHeight w:val="327"/>
        </w:trPr>
        <w:tc>
          <w:tcPr>
            <w:tcW w:w="413"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23" w:type="dxa"/>
            <w:tcBorders>
              <w:top w:val="nil"/>
              <w:left w:val="nil"/>
              <w:bottom w:val="nil"/>
              <w:right w:val="nil"/>
            </w:tcBorders>
            <w:shd w:val="clear" w:color="auto" w:fill="auto"/>
            <w:noWrap/>
            <w:vAlign w:val="center"/>
            <w:hideMark/>
          </w:tcPr>
          <w:p w:rsidR="006F6087" w:rsidRPr="006F6087" w:rsidRDefault="006F6087" w:rsidP="006F6087">
            <w:pPr>
              <w:jc w:val="both"/>
              <w:rPr>
                <w:rFonts w:ascii="Times New Roman" w:hAnsi="Times New Roman"/>
                <w:sz w:val="20"/>
              </w:rPr>
            </w:pPr>
          </w:p>
        </w:tc>
        <w:tc>
          <w:tcPr>
            <w:tcW w:w="220" w:type="dxa"/>
            <w:tcBorders>
              <w:top w:val="nil"/>
              <w:left w:val="nil"/>
              <w:bottom w:val="nil"/>
              <w:right w:val="nil"/>
            </w:tcBorders>
            <w:shd w:val="clear" w:color="auto" w:fill="auto"/>
            <w:noWrap/>
            <w:vAlign w:val="bottom"/>
            <w:hideMark/>
          </w:tcPr>
          <w:p w:rsidR="006F6087" w:rsidRPr="006F6087" w:rsidRDefault="006F6087" w:rsidP="006F6087">
            <w:pPr>
              <w:jc w:val="both"/>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Limit</w:t>
            </w: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Actual</w:t>
            </w:r>
          </w:p>
        </w:tc>
      </w:tr>
      <w:tr w:rsidR="00EB4425" w:rsidRPr="006F6087" w:rsidTr="00EB4425">
        <w:trPr>
          <w:trHeight w:val="327"/>
        </w:trPr>
        <w:tc>
          <w:tcPr>
            <w:tcW w:w="413"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u w:val="single"/>
              </w:rPr>
            </w:pPr>
            <w:r w:rsidRPr="006F6087">
              <w:rPr>
                <w:rFonts w:cs="Arial"/>
                <w:b/>
                <w:bCs/>
                <w:color w:val="000000"/>
                <w:szCs w:val="24"/>
                <w:u w:val="single"/>
              </w:rPr>
              <w:t>Prudential Indicators</w:t>
            </w: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u w:val="single"/>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£m</w:t>
            </w: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£m</w:t>
            </w:r>
          </w:p>
        </w:tc>
      </w:tr>
      <w:tr w:rsidR="00EB4425" w:rsidRPr="006F6087" w:rsidTr="00EB4425">
        <w:trPr>
          <w:trHeight w:val="312"/>
        </w:trPr>
        <w:tc>
          <w:tcPr>
            <w:tcW w:w="413" w:type="dxa"/>
            <w:tcBorders>
              <w:top w:val="nil"/>
              <w:left w:val="nil"/>
              <w:bottom w:val="nil"/>
              <w:right w:val="nil"/>
            </w:tcBorders>
            <w:shd w:val="clear" w:color="auto" w:fill="auto"/>
            <w:noWrap/>
            <w:vAlign w:val="center"/>
            <w:hideMark/>
          </w:tcPr>
          <w:p w:rsidR="006F6087" w:rsidRPr="006F6087" w:rsidRDefault="006F6087" w:rsidP="006F6087">
            <w:pPr>
              <w:jc w:val="center"/>
              <w:rPr>
                <w:rFonts w:cs="Arial"/>
                <w:b/>
                <w:bCs/>
                <w:color w:val="000000"/>
                <w:szCs w:val="24"/>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6F6087" w:rsidRPr="006F6087" w:rsidTr="00EB4425">
        <w:trPr>
          <w:trHeight w:val="327"/>
        </w:trPr>
        <w:tc>
          <w:tcPr>
            <w:tcW w:w="413" w:type="dxa"/>
            <w:tcBorders>
              <w:top w:val="nil"/>
              <w:left w:val="nil"/>
              <w:bottom w:val="nil"/>
              <w:right w:val="nil"/>
            </w:tcBorders>
            <w:shd w:val="clear" w:color="auto" w:fill="auto"/>
            <w:noWrap/>
            <w:vAlign w:val="center"/>
            <w:hideMark/>
          </w:tcPr>
          <w:p w:rsidR="006F6087" w:rsidRPr="006F6087" w:rsidRDefault="006F6087" w:rsidP="006F6087">
            <w:pPr>
              <w:rPr>
                <w:rFonts w:cs="Arial"/>
                <w:color w:val="000000"/>
                <w:szCs w:val="24"/>
              </w:rPr>
            </w:pPr>
            <w:r w:rsidRPr="006F6087">
              <w:rPr>
                <w:rFonts w:cs="Arial"/>
                <w:color w:val="000000"/>
                <w:szCs w:val="24"/>
              </w:rPr>
              <w:t>1.</w:t>
            </w: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Adoption of CIPFA Treasury Management Code of Practice</w:t>
            </w: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2288"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Adopted</w:t>
            </w:r>
          </w:p>
        </w:tc>
      </w:tr>
      <w:tr w:rsidR="00EB4425" w:rsidRPr="006F6087" w:rsidTr="00EB4425">
        <w:trPr>
          <w:trHeight w:val="312"/>
        </w:trPr>
        <w:tc>
          <w:tcPr>
            <w:tcW w:w="413" w:type="dxa"/>
            <w:tcBorders>
              <w:top w:val="nil"/>
              <w:left w:val="nil"/>
              <w:bottom w:val="nil"/>
              <w:right w:val="nil"/>
            </w:tcBorders>
            <w:shd w:val="clear" w:color="auto" w:fill="auto"/>
            <w:noWrap/>
            <w:vAlign w:val="center"/>
            <w:hideMark/>
          </w:tcPr>
          <w:p w:rsidR="006F6087" w:rsidRPr="006F6087" w:rsidRDefault="006F6087" w:rsidP="006F6087">
            <w:pPr>
              <w:jc w:val="center"/>
              <w:rPr>
                <w:rFonts w:cs="Arial"/>
                <w:color w:val="000000"/>
                <w:szCs w:val="24"/>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ind w:firstLineChars="500" w:firstLine="1000"/>
              <w:rPr>
                <w:rFonts w:ascii="Times New Roman" w:hAnsi="Times New Roman"/>
                <w:sz w:val="20"/>
              </w:rPr>
            </w:pP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13" w:type="dxa"/>
            <w:tcBorders>
              <w:top w:val="nil"/>
              <w:left w:val="nil"/>
              <w:bottom w:val="nil"/>
              <w:right w:val="nil"/>
            </w:tcBorders>
            <w:shd w:val="clear" w:color="auto" w:fill="auto"/>
            <w:noWrap/>
            <w:vAlign w:val="center"/>
            <w:hideMark/>
          </w:tcPr>
          <w:p w:rsidR="006F6087" w:rsidRPr="006F6087" w:rsidRDefault="006F6087" w:rsidP="006F6087">
            <w:pPr>
              <w:rPr>
                <w:rFonts w:ascii="Times New Roman" w:hAnsi="Times New Roman"/>
                <w:sz w:val="20"/>
              </w:rPr>
            </w:pP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trHeight w:val="327"/>
        </w:trPr>
        <w:tc>
          <w:tcPr>
            <w:tcW w:w="413" w:type="dxa"/>
            <w:tcBorders>
              <w:top w:val="nil"/>
              <w:left w:val="nil"/>
              <w:bottom w:val="nil"/>
              <w:right w:val="nil"/>
            </w:tcBorders>
            <w:shd w:val="clear" w:color="auto" w:fill="auto"/>
            <w:noWrap/>
            <w:vAlign w:val="center"/>
            <w:hideMark/>
          </w:tcPr>
          <w:p w:rsidR="006F6087" w:rsidRPr="006F6087" w:rsidRDefault="006F6087" w:rsidP="006F6087">
            <w:pPr>
              <w:rPr>
                <w:rFonts w:cs="Arial"/>
                <w:color w:val="000000"/>
                <w:szCs w:val="24"/>
              </w:rPr>
            </w:pPr>
            <w:r w:rsidRPr="006F6087">
              <w:rPr>
                <w:rFonts w:cs="Arial"/>
                <w:color w:val="000000"/>
                <w:szCs w:val="24"/>
              </w:rPr>
              <w:t>2.</w:t>
            </w: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Authorised limit for external debt</w:t>
            </w: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trHeight w:val="312"/>
        </w:trPr>
        <w:tc>
          <w:tcPr>
            <w:tcW w:w="413"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r w:rsidRPr="006F6087">
              <w:rPr>
                <w:rFonts w:cs="Arial"/>
                <w:color w:val="000000"/>
                <w:szCs w:val="24"/>
              </w:rPr>
              <w:t>A prudent estimate of debt</w:t>
            </w:r>
            <w:r>
              <w:rPr>
                <w:rFonts w:cs="Arial"/>
                <w:color w:val="000000"/>
                <w:szCs w:val="24"/>
              </w:rPr>
              <w:t xml:space="preserve"> which reflects the Authority's </w:t>
            </w:r>
            <w:r w:rsidRPr="006F6087">
              <w:rPr>
                <w:rFonts w:cs="Arial"/>
                <w:color w:val="000000"/>
                <w:szCs w:val="24"/>
              </w:rPr>
              <w:t>capital</w:t>
            </w:r>
            <w:r>
              <w:rPr>
                <w:rFonts w:cs="Arial"/>
                <w:color w:val="000000"/>
                <w:szCs w:val="24"/>
              </w:rPr>
              <w:t xml:space="preserve"> expenditure plans and allows sufficient headroom</w:t>
            </w: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trHeight w:val="312"/>
        </w:trPr>
        <w:tc>
          <w:tcPr>
            <w:tcW w:w="413"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roofErr w:type="gramStart"/>
            <w:r w:rsidRPr="006F6087">
              <w:rPr>
                <w:rFonts w:cs="Arial"/>
                <w:color w:val="000000"/>
                <w:szCs w:val="24"/>
              </w:rPr>
              <w:t>for</w:t>
            </w:r>
            <w:proofErr w:type="gramEnd"/>
            <w:r w:rsidRPr="006F6087">
              <w:rPr>
                <w:rFonts w:cs="Arial"/>
                <w:color w:val="000000"/>
                <w:szCs w:val="24"/>
              </w:rPr>
              <w:t xml:space="preserve"> unusual</w:t>
            </w:r>
            <w:r>
              <w:rPr>
                <w:rFonts w:cs="Arial"/>
                <w:color w:val="000000"/>
                <w:szCs w:val="24"/>
              </w:rPr>
              <w:t xml:space="preserve"> cash movements.</w:t>
            </w: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trHeight w:val="312"/>
        </w:trPr>
        <w:tc>
          <w:tcPr>
            <w:tcW w:w="413"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ind w:firstLineChars="400" w:firstLine="800"/>
              <w:rPr>
                <w:rFonts w:ascii="Times New Roman" w:hAnsi="Times New Roman"/>
                <w:sz w:val="20"/>
              </w:rPr>
            </w:pP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trHeight w:val="312"/>
        </w:trPr>
        <w:tc>
          <w:tcPr>
            <w:tcW w:w="413"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r w:rsidRPr="006F6087">
              <w:rPr>
                <w:rFonts w:cs="Arial"/>
                <w:color w:val="000000"/>
                <w:szCs w:val="24"/>
              </w:rPr>
              <w:t>Borrowing</w:t>
            </w: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1,544</w:t>
            </w: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1,036</w:t>
            </w:r>
          </w:p>
        </w:tc>
      </w:tr>
      <w:tr w:rsidR="00EB4425" w:rsidRPr="006F6087" w:rsidTr="00EB4425">
        <w:trPr>
          <w:trHeight w:val="312"/>
        </w:trPr>
        <w:tc>
          <w:tcPr>
            <w:tcW w:w="413"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r w:rsidRPr="006F6087">
              <w:rPr>
                <w:rFonts w:cs="Arial"/>
                <w:color w:val="000000"/>
                <w:szCs w:val="24"/>
              </w:rPr>
              <w:t>Other long term liabilities (PFI schemes)</w:t>
            </w: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206</w:t>
            </w:r>
          </w:p>
        </w:tc>
        <w:tc>
          <w:tcPr>
            <w:tcW w:w="1075" w:type="dxa"/>
            <w:tcBorders>
              <w:top w:val="nil"/>
              <w:left w:val="nil"/>
              <w:bottom w:val="nil"/>
              <w:right w:val="nil"/>
            </w:tcBorders>
            <w:shd w:val="clear" w:color="auto" w:fill="auto"/>
            <w:noWrap/>
            <w:vAlign w:val="center"/>
            <w:hideMark/>
          </w:tcPr>
          <w:p w:rsidR="006F6087" w:rsidRPr="006F6087" w:rsidRDefault="006F6087" w:rsidP="006F6087">
            <w:pPr>
              <w:jc w:val="center"/>
              <w:rPr>
                <w:rFonts w:cs="Arial"/>
                <w:color w:val="000000"/>
                <w:szCs w:val="24"/>
              </w:rPr>
            </w:pPr>
            <w:r w:rsidRPr="006F6087">
              <w:rPr>
                <w:rFonts w:cs="Arial"/>
                <w:color w:val="000000"/>
                <w:szCs w:val="24"/>
              </w:rPr>
              <w:t>176</w:t>
            </w:r>
          </w:p>
        </w:tc>
      </w:tr>
      <w:tr w:rsidR="00EB4425" w:rsidRPr="006F6087" w:rsidTr="00EB4425">
        <w:trPr>
          <w:trHeight w:val="327"/>
        </w:trPr>
        <w:tc>
          <w:tcPr>
            <w:tcW w:w="413"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23"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TOTAL</w:t>
            </w:r>
          </w:p>
        </w:tc>
        <w:tc>
          <w:tcPr>
            <w:tcW w:w="220"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1213"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1,750</w:t>
            </w:r>
          </w:p>
        </w:tc>
        <w:tc>
          <w:tcPr>
            <w:tcW w:w="1075"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1,212</w:t>
            </w:r>
          </w:p>
        </w:tc>
      </w:tr>
    </w:tbl>
    <w:p w:rsidR="006F6087" w:rsidRDefault="006F6087">
      <w:r>
        <w:br w:type="page"/>
      </w:r>
    </w:p>
    <w:tbl>
      <w:tblPr>
        <w:tblW w:w="9270" w:type="dxa"/>
        <w:tblLook w:val="04A0" w:firstRow="1" w:lastRow="0" w:firstColumn="1" w:lastColumn="0" w:noHBand="0" w:noVBand="1"/>
      </w:tblPr>
      <w:tblGrid>
        <w:gridCol w:w="417"/>
        <w:gridCol w:w="4612"/>
        <w:gridCol w:w="1446"/>
        <w:gridCol w:w="337"/>
        <w:gridCol w:w="222"/>
        <w:gridCol w:w="584"/>
        <w:gridCol w:w="304"/>
        <w:gridCol w:w="339"/>
        <w:gridCol w:w="340"/>
        <w:gridCol w:w="685"/>
        <w:gridCol w:w="243"/>
      </w:tblGrid>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rPr>
                <w:rFonts w:cs="Arial"/>
                <w:color w:val="000000"/>
                <w:szCs w:val="24"/>
              </w:rPr>
            </w:pPr>
            <w:r w:rsidRPr="006F6087">
              <w:rPr>
                <w:rFonts w:cs="Arial"/>
                <w:color w:val="000000"/>
                <w:szCs w:val="24"/>
              </w:rPr>
              <w:t>3.</w:t>
            </w: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Operational boundary for external debt</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r w:rsidRPr="006F6087">
              <w:rPr>
                <w:rFonts w:cs="Arial"/>
                <w:color w:val="000000"/>
                <w:szCs w:val="24"/>
              </w:rPr>
              <w:t>A prudent estimate of debt but no provision for unusual cash</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roofErr w:type="gramStart"/>
            <w:r w:rsidRPr="006F6087">
              <w:rPr>
                <w:rFonts w:cs="Arial"/>
                <w:color w:val="000000"/>
                <w:szCs w:val="24"/>
              </w:rPr>
              <w:t>movements</w:t>
            </w:r>
            <w:proofErr w:type="gramEnd"/>
            <w:r w:rsidRPr="006F6087">
              <w:rPr>
                <w:rFonts w:cs="Arial"/>
                <w:color w:val="000000"/>
                <w:szCs w:val="24"/>
              </w:rPr>
              <w:t>. It represents the estimated maximum external debt</w:t>
            </w:r>
            <w:r>
              <w:rPr>
                <w:rFonts w:cs="Arial"/>
                <w:color w:val="000000"/>
                <w:szCs w:val="24"/>
              </w:rPr>
              <w:t xml:space="preserve"> </w:t>
            </w:r>
            <w:r w:rsidRPr="006F6087">
              <w:rPr>
                <w:rFonts w:cs="Arial"/>
                <w:color w:val="000000"/>
                <w:szCs w:val="24"/>
              </w:rPr>
              <w:t>arising as a consequence of the County Council's</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roofErr w:type="gramStart"/>
            <w:r w:rsidRPr="006F6087">
              <w:rPr>
                <w:rFonts w:cs="Arial"/>
                <w:color w:val="000000"/>
                <w:szCs w:val="24"/>
              </w:rPr>
              <w:t>current</w:t>
            </w:r>
            <w:proofErr w:type="gramEnd"/>
            <w:r w:rsidRPr="006F6087">
              <w:rPr>
                <w:rFonts w:cs="Arial"/>
                <w:color w:val="000000"/>
                <w:szCs w:val="24"/>
              </w:rPr>
              <w:t xml:space="preserve"> plans.</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ind w:firstLineChars="400" w:firstLine="800"/>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r w:rsidRPr="006F6087">
              <w:rPr>
                <w:rFonts w:cs="Arial"/>
                <w:color w:val="000000"/>
                <w:szCs w:val="24"/>
              </w:rPr>
              <w:t>Borrowing</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1,494</w:t>
            </w: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1,036</w:t>
            </w: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r w:rsidRPr="006F6087">
              <w:rPr>
                <w:rFonts w:cs="Arial"/>
                <w:color w:val="000000"/>
                <w:szCs w:val="24"/>
              </w:rPr>
              <w:t>Other long term liabilities (PFI schemes)</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156</w:t>
            </w:r>
          </w:p>
        </w:tc>
        <w:tc>
          <w:tcPr>
            <w:tcW w:w="1023" w:type="dxa"/>
            <w:gridSpan w:val="2"/>
            <w:tcBorders>
              <w:top w:val="nil"/>
              <w:left w:val="nil"/>
              <w:bottom w:val="nil"/>
              <w:right w:val="nil"/>
            </w:tcBorders>
            <w:shd w:val="clear" w:color="auto" w:fill="auto"/>
            <w:noWrap/>
            <w:vAlign w:val="center"/>
            <w:hideMark/>
          </w:tcPr>
          <w:p w:rsidR="006F6087" w:rsidRPr="006F6087" w:rsidRDefault="006F6087" w:rsidP="006F6087">
            <w:pPr>
              <w:jc w:val="center"/>
              <w:rPr>
                <w:rFonts w:cs="Arial"/>
                <w:color w:val="000000"/>
                <w:szCs w:val="24"/>
              </w:rPr>
            </w:pPr>
            <w:r w:rsidRPr="006F6087">
              <w:rPr>
                <w:rFonts w:cs="Arial"/>
                <w:color w:val="000000"/>
                <w:szCs w:val="24"/>
              </w:rPr>
              <w:t>176</w:t>
            </w: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TOTAL</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1,650</w:t>
            </w: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1,212</w:t>
            </w: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cs="Arial"/>
                <w:b/>
                <w:bCs/>
                <w:color w:val="000000"/>
                <w:szCs w:val="24"/>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rPr>
                <w:rFonts w:cs="Arial"/>
                <w:color w:val="000000"/>
                <w:szCs w:val="24"/>
              </w:rPr>
            </w:pPr>
            <w:r w:rsidRPr="006F6087">
              <w:rPr>
                <w:rFonts w:cs="Arial"/>
                <w:color w:val="000000"/>
                <w:szCs w:val="24"/>
              </w:rPr>
              <w:t>4.</w:t>
            </w: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Capital Financing Requirement</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1,007</w:t>
            </w: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1,005</w:t>
            </w: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cs="Arial"/>
                <w:color w:val="000000"/>
                <w:szCs w:val="24"/>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ind w:firstLineChars="500" w:firstLine="1000"/>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u w:val="single"/>
              </w:rPr>
            </w:pPr>
            <w:r w:rsidRPr="006F6087">
              <w:rPr>
                <w:rFonts w:cs="Arial"/>
                <w:b/>
                <w:bCs/>
                <w:color w:val="000000"/>
                <w:szCs w:val="24"/>
                <w:u w:val="single"/>
              </w:rPr>
              <w:t>Treasury Management Indicators</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u w:val="single"/>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ind w:firstLineChars="500" w:firstLine="1000"/>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rPr>
                <w:rFonts w:cs="Arial"/>
                <w:color w:val="000000"/>
                <w:szCs w:val="24"/>
              </w:rPr>
            </w:pPr>
            <w:r w:rsidRPr="006F6087">
              <w:rPr>
                <w:rFonts w:cs="Arial"/>
                <w:color w:val="000000"/>
                <w:szCs w:val="24"/>
              </w:rPr>
              <w:t>5.</w:t>
            </w: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Upper limit for fixed rate debt</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37.6</w:t>
            </w: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8.7</w:t>
            </w: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cs="Arial"/>
                <w:color w:val="000000"/>
                <w:szCs w:val="24"/>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ind w:firstLineChars="500" w:firstLine="1000"/>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center"/>
            <w:hideMark/>
          </w:tcPr>
          <w:p w:rsidR="006F6087" w:rsidRPr="006F6087" w:rsidRDefault="006F6087" w:rsidP="006F6087">
            <w:pPr>
              <w:jc w:val="center"/>
              <w:rPr>
                <w:rFonts w:ascii="Times New Roman" w:hAnsi="Times New Roman"/>
                <w:sz w:val="20"/>
              </w:rPr>
            </w:pP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rPr>
                <w:rFonts w:cs="Arial"/>
                <w:color w:val="000000"/>
                <w:szCs w:val="24"/>
              </w:rPr>
            </w:pPr>
            <w:r w:rsidRPr="006F6087">
              <w:rPr>
                <w:rFonts w:cs="Arial"/>
                <w:color w:val="000000"/>
                <w:szCs w:val="24"/>
              </w:rPr>
              <w:t>6.</w:t>
            </w: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Upper limit for variable rate debt</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5.0</w:t>
            </w: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-1.8</w:t>
            </w: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jc w:val="center"/>
              <w:rPr>
                <w:rFonts w:cs="Arial"/>
                <w:color w:val="000000"/>
                <w:szCs w:val="24"/>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ind w:firstLineChars="600" w:firstLine="1200"/>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6F6087" w:rsidRPr="006F6087" w:rsidTr="00EB4425">
        <w:trPr>
          <w:gridAfter w:val="1"/>
          <w:wAfter w:w="243" w:type="dxa"/>
          <w:trHeight w:val="319"/>
        </w:trPr>
        <w:tc>
          <w:tcPr>
            <w:tcW w:w="402" w:type="dxa"/>
            <w:tcBorders>
              <w:top w:val="nil"/>
              <w:left w:val="nil"/>
              <w:bottom w:val="nil"/>
              <w:right w:val="nil"/>
            </w:tcBorders>
            <w:shd w:val="clear" w:color="auto" w:fill="auto"/>
            <w:noWrap/>
            <w:vAlign w:val="center"/>
            <w:hideMark/>
          </w:tcPr>
          <w:p w:rsidR="006F6087" w:rsidRPr="006F6087" w:rsidRDefault="006F6087" w:rsidP="006F6087">
            <w:pPr>
              <w:rPr>
                <w:rFonts w:cs="Arial"/>
                <w:color w:val="000000"/>
                <w:szCs w:val="24"/>
              </w:rPr>
            </w:pPr>
            <w:r w:rsidRPr="006F6087">
              <w:rPr>
                <w:rFonts w:cs="Arial"/>
                <w:color w:val="000000"/>
                <w:szCs w:val="24"/>
              </w:rPr>
              <w:t>7.</w:t>
            </w: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Upper limit for investments over 364 days</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2251" w:type="dxa"/>
            <w:gridSpan w:val="5"/>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See below</w:t>
            </w: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6F6087" w:rsidRPr="006F6087" w:rsidTr="00EB4425">
        <w:trPr>
          <w:gridAfter w:val="1"/>
          <w:wAfter w:w="243" w:type="dxa"/>
          <w:trHeight w:val="304"/>
        </w:trPr>
        <w:tc>
          <w:tcPr>
            <w:tcW w:w="402" w:type="dxa"/>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c>
          <w:tcPr>
            <w:tcW w:w="8868" w:type="dxa"/>
            <w:gridSpan w:val="9"/>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r w:rsidRPr="006F6087">
              <w:rPr>
                <w:rFonts w:cs="Arial"/>
                <w:color w:val="000000"/>
                <w:szCs w:val="24"/>
              </w:rPr>
              <w:t>Limits on the level of long term investments helps to control liquidity, although the majority</w:t>
            </w:r>
          </w:p>
        </w:tc>
      </w:tr>
      <w:tr w:rsidR="006F6087" w:rsidRPr="006F6087" w:rsidTr="00EB4425">
        <w:trPr>
          <w:gridAfter w:val="1"/>
          <w:wAfter w:w="243" w:type="dxa"/>
          <w:trHeight w:val="304"/>
        </w:trPr>
        <w:tc>
          <w:tcPr>
            <w:tcW w:w="402"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8868" w:type="dxa"/>
            <w:gridSpan w:val="9"/>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roofErr w:type="gramStart"/>
            <w:r w:rsidRPr="006F6087">
              <w:rPr>
                <w:rFonts w:cs="Arial"/>
                <w:color w:val="000000"/>
                <w:szCs w:val="24"/>
              </w:rPr>
              <w:t>of</w:t>
            </w:r>
            <w:proofErr w:type="gramEnd"/>
            <w:r w:rsidRPr="006F6087">
              <w:rPr>
                <w:rFonts w:cs="Arial"/>
                <w:color w:val="000000"/>
                <w:szCs w:val="24"/>
              </w:rPr>
              <w:t xml:space="preserve"> investments are held in available for sale securities.</w:t>
            </w: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Upper</w:t>
            </w: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Limit</w:t>
            </w: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Actual</w:t>
            </w:r>
          </w:p>
        </w:tc>
      </w:tr>
      <w:tr w:rsidR="00EB4425" w:rsidRPr="006F6087" w:rsidTr="00EB4425">
        <w:trPr>
          <w:gridAfter w:val="1"/>
          <w:wAfter w:w="243" w:type="dxa"/>
          <w:trHeight w:val="319"/>
        </w:trPr>
        <w:tc>
          <w:tcPr>
            <w:tcW w:w="402"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r w:rsidRPr="006F6087">
              <w:rPr>
                <w:rFonts w:cs="Arial"/>
                <w:b/>
                <w:bCs/>
                <w:color w:val="000000"/>
                <w:szCs w:val="24"/>
              </w:rPr>
              <w:t>Authorised limit</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b/>
                <w:bCs/>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£m</w:t>
            </w: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r w:rsidRPr="006F6087">
              <w:rPr>
                <w:rFonts w:cs="Arial"/>
                <w:b/>
                <w:bCs/>
                <w:color w:val="000000"/>
                <w:szCs w:val="24"/>
              </w:rPr>
              <w:t>£m</w:t>
            </w: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b/>
                <w:bCs/>
                <w:color w:val="000000"/>
                <w:szCs w:val="24"/>
              </w:rPr>
            </w:pPr>
          </w:p>
        </w:tc>
        <w:tc>
          <w:tcPr>
            <w:tcW w:w="6395" w:type="dxa"/>
            <w:gridSpan w:val="3"/>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r w:rsidRPr="006F6087">
              <w:rPr>
                <w:rFonts w:cs="Arial"/>
                <w:color w:val="000000"/>
                <w:szCs w:val="24"/>
              </w:rPr>
              <w:t>Total invested over 364 days</w:t>
            </w: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cs="Arial"/>
                <w:color w:val="000000"/>
                <w:szCs w:val="24"/>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900</w:t>
            </w: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r w:rsidRPr="006F6087">
              <w:rPr>
                <w:rFonts w:cs="Arial"/>
                <w:color w:val="000000"/>
                <w:szCs w:val="24"/>
              </w:rPr>
              <w:t>514</w:t>
            </w:r>
          </w:p>
        </w:tc>
      </w:tr>
      <w:tr w:rsidR="00EB4425" w:rsidRPr="006F6087" w:rsidTr="00EB4425">
        <w:trPr>
          <w:gridAfter w:val="1"/>
          <w:wAfter w:w="243" w:type="dxa"/>
          <w:trHeight w:val="304"/>
        </w:trPr>
        <w:tc>
          <w:tcPr>
            <w:tcW w:w="402" w:type="dxa"/>
            <w:tcBorders>
              <w:top w:val="nil"/>
              <w:left w:val="nil"/>
              <w:bottom w:val="nil"/>
              <w:right w:val="nil"/>
            </w:tcBorders>
            <w:shd w:val="clear" w:color="auto" w:fill="auto"/>
            <w:noWrap/>
            <w:vAlign w:val="bottom"/>
            <w:hideMark/>
          </w:tcPr>
          <w:p w:rsidR="006F6087" w:rsidRPr="006F6087" w:rsidRDefault="006F6087" w:rsidP="006F6087">
            <w:pPr>
              <w:jc w:val="center"/>
              <w:rPr>
                <w:rFonts w:cs="Arial"/>
                <w:color w:val="000000"/>
                <w:szCs w:val="24"/>
              </w:rPr>
            </w:pPr>
          </w:p>
        </w:tc>
        <w:tc>
          <w:tcPr>
            <w:tcW w:w="6395" w:type="dxa"/>
            <w:gridSpan w:val="3"/>
            <w:tcBorders>
              <w:top w:val="nil"/>
              <w:left w:val="nil"/>
              <w:bottom w:val="nil"/>
              <w:right w:val="nil"/>
            </w:tcBorders>
            <w:shd w:val="clear" w:color="auto" w:fill="auto"/>
            <w:noWrap/>
            <w:vAlign w:val="bottom"/>
            <w:hideMark/>
          </w:tcPr>
          <w:p w:rsidR="00110FC0" w:rsidRPr="006F6087" w:rsidRDefault="00110FC0" w:rsidP="006F6087">
            <w:pPr>
              <w:rPr>
                <w:rFonts w:ascii="Times New Roman" w:hAnsi="Times New Roman"/>
                <w:sz w:val="20"/>
              </w:rPr>
            </w:pPr>
          </w:p>
        </w:tc>
        <w:tc>
          <w:tcPr>
            <w:tcW w:w="221" w:type="dxa"/>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227" w:type="dxa"/>
            <w:gridSpan w:val="3"/>
            <w:tcBorders>
              <w:top w:val="nil"/>
              <w:left w:val="nil"/>
              <w:bottom w:val="nil"/>
              <w:right w:val="nil"/>
            </w:tcBorders>
            <w:shd w:val="clear" w:color="auto" w:fill="auto"/>
            <w:noWrap/>
            <w:vAlign w:val="bottom"/>
            <w:hideMark/>
          </w:tcPr>
          <w:p w:rsidR="006F6087" w:rsidRPr="006F6087" w:rsidRDefault="006F6087" w:rsidP="006F6087">
            <w:pPr>
              <w:rPr>
                <w:rFonts w:ascii="Times New Roman" w:hAnsi="Times New Roman"/>
                <w:sz w:val="20"/>
              </w:rPr>
            </w:pPr>
          </w:p>
        </w:tc>
        <w:tc>
          <w:tcPr>
            <w:tcW w:w="1023" w:type="dxa"/>
            <w:gridSpan w:val="2"/>
            <w:tcBorders>
              <w:top w:val="nil"/>
              <w:left w:val="nil"/>
              <w:bottom w:val="nil"/>
              <w:right w:val="nil"/>
            </w:tcBorders>
            <w:shd w:val="clear" w:color="auto" w:fill="auto"/>
            <w:noWrap/>
            <w:vAlign w:val="bottom"/>
            <w:hideMark/>
          </w:tcPr>
          <w:p w:rsidR="006F6087" w:rsidRPr="006F6087" w:rsidRDefault="006F6087" w:rsidP="006F6087">
            <w:pPr>
              <w:jc w:val="center"/>
              <w:rPr>
                <w:rFonts w:ascii="Times New Roman" w:hAnsi="Times New Roman"/>
                <w:sz w:val="20"/>
              </w:rPr>
            </w:pPr>
          </w:p>
        </w:tc>
      </w:tr>
      <w:tr w:rsidR="00EB4425" w:rsidRPr="00110FC0" w:rsidTr="00EB4425">
        <w:trPr>
          <w:trHeight w:val="324"/>
        </w:trPr>
        <w:tc>
          <w:tcPr>
            <w:tcW w:w="399" w:type="dxa"/>
            <w:tcBorders>
              <w:top w:val="nil"/>
              <w:left w:val="nil"/>
              <w:bottom w:val="nil"/>
              <w:right w:val="nil"/>
            </w:tcBorders>
            <w:shd w:val="clear" w:color="auto" w:fill="auto"/>
            <w:noWrap/>
            <w:vAlign w:val="bottom"/>
            <w:hideMark/>
          </w:tcPr>
          <w:p w:rsidR="00110FC0" w:rsidRPr="00110FC0" w:rsidRDefault="00110FC0" w:rsidP="00110FC0">
            <w:pPr>
              <w:rPr>
                <w:rFonts w:cs="Arial"/>
                <w:color w:val="000000"/>
                <w:szCs w:val="24"/>
              </w:rPr>
            </w:pPr>
            <w:r w:rsidRPr="00110FC0">
              <w:rPr>
                <w:rFonts w:cs="Arial"/>
                <w:color w:val="000000"/>
                <w:szCs w:val="24"/>
              </w:rPr>
              <w:t>8.</w:t>
            </w:r>
          </w:p>
        </w:tc>
        <w:tc>
          <w:tcPr>
            <w:tcW w:w="4612" w:type="dxa"/>
            <w:tcBorders>
              <w:top w:val="nil"/>
              <w:left w:val="nil"/>
              <w:bottom w:val="nil"/>
              <w:right w:val="nil"/>
            </w:tcBorders>
            <w:shd w:val="clear" w:color="auto" w:fill="auto"/>
            <w:noWrap/>
            <w:vAlign w:val="bottom"/>
            <w:hideMark/>
          </w:tcPr>
          <w:p w:rsidR="00110FC0" w:rsidRPr="00110FC0" w:rsidRDefault="00110FC0" w:rsidP="00110FC0">
            <w:pPr>
              <w:rPr>
                <w:rFonts w:cs="Arial"/>
                <w:b/>
                <w:bCs/>
                <w:color w:val="000000"/>
                <w:szCs w:val="24"/>
              </w:rPr>
            </w:pPr>
            <w:r w:rsidRPr="00110FC0">
              <w:rPr>
                <w:rFonts w:eastAsia="Arial" w:cs="Arial"/>
                <w:b/>
                <w:bCs/>
                <w:color w:val="000000"/>
                <w:szCs w:val="24"/>
              </w:rPr>
              <w:t>Maturity structure of debt</w:t>
            </w:r>
          </w:p>
        </w:tc>
        <w:tc>
          <w:tcPr>
            <w:tcW w:w="2588" w:type="dxa"/>
            <w:gridSpan w:val="4"/>
            <w:tcBorders>
              <w:top w:val="nil"/>
              <w:left w:val="nil"/>
              <w:bottom w:val="nil"/>
              <w:right w:val="nil"/>
            </w:tcBorders>
            <w:shd w:val="clear" w:color="auto" w:fill="auto"/>
            <w:noWrap/>
            <w:vAlign w:val="bottom"/>
            <w:hideMark/>
          </w:tcPr>
          <w:p w:rsidR="00110FC0" w:rsidRPr="00110FC0" w:rsidRDefault="00110FC0" w:rsidP="00110FC0">
            <w:pPr>
              <w:rPr>
                <w:rFonts w:cs="Arial"/>
                <w:b/>
                <w:bCs/>
                <w:color w:val="000000"/>
                <w:szCs w:val="24"/>
              </w:rPr>
            </w:pPr>
          </w:p>
        </w:tc>
        <w:tc>
          <w:tcPr>
            <w:tcW w:w="983" w:type="dxa"/>
            <w:gridSpan w:val="3"/>
            <w:tcBorders>
              <w:top w:val="nil"/>
              <w:left w:val="nil"/>
              <w:bottom w:val="nil"/>
              <w:right w:val="nil"/>
            </w:tcBorders>
            <w:shd w:val="clear" w:color="auto" w:fill="auto"/>
            <w:noWrap/>
            <w:vAlign w:val="bottom"/>
            <w:hideMark/>
          </w:tcPr>
          <w:p w:rsidR="00110FC0" w:rsidRPr="00110FC0" w:rsidRDefault="00110FC0" w:rsidP="00110FC0">
            <w:pPr>
              <w:jc w:val="center"/>
              <w:rPr>
                <w:rFonts w:ascii="Times New Roman" w:hAnsi="Times New Roman"/>
                <w:sz w:val="20"/>
              </w:rPr>
            </w:pPr>
          </w:p>
        </w:tc>
        <w:tc>
          <w:tcPr>
            <w:tcW w:w="928" w:type="dxa"/>
            <w:gridSpan w:val="2"/>
            <w:tcBorders>
              <w:top w:val="nil"/>
              <w:left w:val="nil"/>
              <w:bottom w:val="nil"/>
              <w:right w:val="nil"/>
            </w:tcBorders>
            <w:shd w:val="clear" w:color="auto" w:fill="auto"/>
            <w:noWrap/>
            <w:vAlign w:val="bottom"/>
            <w:hideMark/>
          </w:tcPr>
          <w:p w:rsidR="00110FC0" w:rsidRPr="00110FC0" w:rsidRDefault="00110FC0" w:rsidP="00110FC0">
            <w:pPr>
              <w:jc w:val="center"/>
              <w:rPr>
                <w:rFonts w:ascii="Times New Roman" w:hAnsi="Times New Roman"/>
                <w:sz w:val="20"/>
              </w:rPr>
            </w:pPr>
          </w:p>
        </w:tc>
      </w:tr>
      <w:tr w:rsidR="00EB4425" w:rsidRPr="00110FC0" w:rsidTr="00EB4425">
        <w:trPr>
          <w:trHeight w:val="324"/>
        </w:trPr>
        <w:tc>
          <w:tcPr>
            <w:tcW w:w="399" w:type="dxa"/>
            <w:tcBorders>
              <w:top w:val="nil"/>
              <w:left w:val="nil"/>
              <w:bottom w:val="nil"/>
              <w:right w:val="nil"/>
            </w:tcBorders>
            <w:shd w:val="clear" w:color="auto" w:fill="auto"/>
            <w:noWrap/>
            <w:vAlign w:val="bottom"/>
            <w:hideMark/>
          </w:tcPr>
          <w:p w:rsidR="00110FC0" w:rsidRPr="00110FC0" w:rsidRDefault="00110FC0" w:rsidP="00110FC0">
            <w:pPr>
              <w:jc w:val="center"/>
              <w:rPr>
                <w:rFonts w:ascii="Times New Roman" w:hAnsi="Times New Roman"/>
                <w:sz w:val="20"/>
              </w:rPr>
            </w:pPr>
          </w:p>
        </w:tc>
        <w:tc>
          <w:tcPr>
            <w:tcW w:w="4612" w:type="dxa"/>
            <w:tcBorders>
              <w:top w:val="nil"/>
              <w:left w:val="nil"/>
              <w:bottom w:val="nil"/>
              <w:right w:val="nil"/>
            </w:tcBorders>
            <w:shd w:val="clear" w:color="auto" w:fill="auto"/>
            <w:noWrap/>
            <w:vAlign w:val="bottom"/>
            <w:hideMark/>
          </w:tcPr>
          <w:p w:rsidR="00110FC0" w:rsidRPr="00110FC0" w:rsidRDefault="00110FC0" w:rsidP="00110FC0">
            <w:pPr>
              <w:rPr>
                <w:rFonts w:ascii="Times New Roman" w:hAnsi="Times New Roman"/>
                <w:sz w:val="20"/>
              </w:rPr>
            </w:pPr>
          </w:p>
        </w:tc>
        <w:tc>
          <w:tcPr>
            <w:tcW w:w="1446"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r w:rsidRPr="00110FC0">
              <w:rPr>
                <w:rFonts w:cs="Arial"/>
                <w:b/>
                <w:bCs/>
                <w:color w:val="000000"/>
                <w:szCs w:val="24"/>
              </w:rPr>
              <w:t>Lower</w:t>
            </w:r>
          </w:p>
        </w:tc>
        <w:tc>
          <w:tcPr>
            <w:tcW w:w="1446"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r w:rsidRPr="00110FC0">
              <w:rPr>
                <w:rFonts w:cs="Arial"/>
                <w:b/>
                <w:bCs/>
                <w:color w:val="000000"/>
                <w:szCs w:val="24"/>
              </w:rPr>
              <w:t xml:space="preserve"> Upper</w:t>
            </w:r>
          </w:p>
        </w:tc>
        <w:tc>
          <w:tcPr>
            <w:tcW w:w="1607"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p>
        </w:tc>
      </w:tr>
      <w:tr w:rsidR="00EB4425" w:rsidRPr="00110FC0" w:rsidTr="00EB4425">
        <w:trPr>
          <w:trHeight w:val="324"/>
        </w:trPr>
        <w:tc>
          <w:tcPr>
            <w:tcW w:w="399" w:type="dxa"/>
            <w:tcBorders>
              <w:top w:val="nil"/>
              <w:left w:val="nil"/>
              <w:bottom w:val="nil"/>
              <w:right w:val="nil"/>
            </w:tcBorders>
            <w:shd w:val="clear" w:color="auto" w:fill="auto"/>
            <w:noWrap/>
            <w:vAlign w:val="bottom"/>
            <w:hideMark/>
          </w:tcPr>
          <w:p w:rsidR="00110FC0" w:rsidRPr="00110FC0" w:rsidRDefault="00110FC0" w:rsidP="00110FC0">
            <w:pPr>
              <w:jc w:val="center"/>
              <w:rPr>
                <w:rFonts w:ascii="Times New Roman" w:hAnsi="Times New Roman"/>
                <w:sz w:val="20"/>
              </w:rPr>
            </w:pPr>
          </w:p>
        </w:tc>
        <w:tc>
          <w:tcPr>
            <w:tcW w:w="4612" w:type="dxa"/>
            <w:tcBorders>
              <w:top w:val="nil"/>
              <w:left w:val="nil"/>
              <w:bottom w:val="nil"/>
              <w:right w:val="nil"/>
            </w:tcBorders>
            <w:shd w:val="clear" w:color="auto" w:fill="auto"/>
            <w:noWrap/>
            <w:vAlign w:val="bottom"/>
            <w:hideMark/>
          </w:tcPr>
          <w:p w:rsidR="00110FC0" w:rsidRPr="00110FC0" w:rsidRDefault="00110FC0" w:rsidP="00110FC0">
            <w:pPr>
              <w:rPr>
                <w:rFonts w:ascii="Times New Roman" w:hAnsi="Times New Roman"/>
                <w:sz w:val="20"/>
              </w:rPr>
            </w:pPr>
          </w:p>
        </w:tc>
        <w:tc>
          <w:tcPr>
            <w:tcW w:w="1446"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r w:rsidRPr="00110FC0">
              <w:rPr>
                <w:rFonts w:cs="Arial"/>
                <w:b/>
                <w:bCs/>
                <w:color w:val="000000"/>
                <w:szCs w:val="24"/>
              </w:rPr>
              <w:t>Limit</w:t>
            </w:r>
          </w:p>
        </w:tc>
        <w:tc>
          <w:tcPr>
            <w:tcW w:w="1446"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r w:rsidRPr="00110FC0">
              <w:rPr>
                <w:rFonts w:cs="Arial"/>
                <w:b/>
                <w:bCs/>
                <w:color w:val="000000"/>
                <w:szCs w:val="24"/>
              </w:rPr>
              <w:t>Limit</w:t>
            </w:r>
          </w:p>
        </w:tc>
        <w:tc>
          <w:tcPr>
            <w:tcW w:w="1607"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r w:rsidRPr="00110FC0">
              <w:rPr>
                <w:rFonts w:cs="Arial"/>
                <w:b/>
                <w:bCs/>
                <w:color w:val="000000"/>
                <w:szCs w:val="24"/>
              </w:rPr>
              <w:t xml:space="preserve">Actual </w:t>
            </w:r>
          </w:p>
        </w:tc>
      </w:tr>
      <w:tr w:rsidR="00EB4425" w:rsidRPr="00110FC0" w:rsidTr="00EB4425">
        <w:trPr>
          <w:trHeight w:val="324"/>
        </w:trPr>
        <w:tc>
          <w:tcPr>
            <w:tcW w:w="399"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p>
        </w:tc>
        <w:tc>
          <w:tcPr>
            <w:tcW w:w="4612" w:type="dxa"/>
            <w:tcBorders>
              <w:top w:val="nil"/>
              <w:left w:val="nil"/>
              <w:bottom w:val="nil"/>
              <w:right w:val="nil"/>
            </w:tcBorders>
            <w:shd w:val="clear" w:color="auto" w:fill="auto"/>
            <w:noWrap/>
            <w:vAlign w:val="bottom"/>
            <w:hideMark/>
          </w:tcPr>
          <w:p w:rsidR="00110FC0" w:rsidRPr="00110FC0" w:rsidRDefault="00110FC0" w:rsidP="00110FC0">
            <w:pPr>
              <w:rPr>
                <w:rFonts w:ascii="Times New Roman" w:hAnsi="Times New Roman"/>
                <w:sz w:val="20"/>
              </w:rPr>
            </w:pPr>
          </w:p>
        </w:tc>
        <w:tc>
          <w:tcPr>
            <w:tcW w:w="1446"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r w:rsidRPr="00110FC0">
              <w:rPr>
                <w:rFonts w:cs="Arial"/>
                <w:b/>
                <w:bCs/>
                <w:color w:val="000000"/>
                <w:szCs w:val="24"/>
              </w:rPr>
              <w:t xml:space="preserve">   %</w:t>
            </w:r>
          </w:p>
        </w:tc>
        <w:tc>
          <w:tcPr>
            <w:tcW w:w="1446"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r w:rsidRPr="00110FC0">
              <w:rPr>
                <w:rFonts w:cs="Arial"/>
                <w:b/>
                <w:bCs/>
                <w:color w:val="000000"/>
                <w:szCs w:val="24"/>
              </w:rPr>
              <w:t xml:space="preserve"> %</w:t>
            </w:r>
          </w:p>
        </w:tc>
        <w:tc>
          <w:tcPr>
            <w:tcW w:w="1607"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r w:rsidRPr="00110FC0">
              <w:rPr>
                <w:rFonts w:cs="Arial"/>
                <w:b/>
                <w:bCs/>
                <w:color w:val="000000"/>
                <w:szCs w:val="24"/>
              </w:rPr>
              <w:t>%</w:t>
            </w:r>
          </w:p>
        </w:tc>
      </w:tr>
      <w:tr w:rsidR="00EB4425" w:rsidRPr="00110FC0" w:rsidTr="00EB4425">
        <w:trPr>
          <w:trHeight w:val="309"/>
        </w:trPr>
        <w:tc>
          <w:tcPr>
            <w:tcW w:w="399"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b/>
                <w:bCs/>
                <w:color w:val="000000"/>
                <w:szCs w:val="24"/>
              </w:rPr>
            </w:pPr>
          </w:p>
        </w:tc>
        <w:tc>
          <w:tcPr>
            <w:tcW w:w="4612" w:type="dxa"/>
            <w:tcBorders>
              <w:top w:val="nil"/>
              <w:left w:val="nil"/>
              <w:bottom w:val="nil"/>
              <w:right w:val="nil"/>
            </w:tcBorders>
            <w:shd w:val="clear" w:color="auto" w:fill="auto"/>
            <w:noWrap/>
            <w:vAlign w:val="bottom"/>
            <w:hideMark/>
          </w:tcPr>
          <w:p w:rsidR="00110FC0" w:rsidRPr="00110FC0" w:rsidRDefault="00110FC0" w:rsidP="00110FC0">
            <w:pPr>
              <w:rPr>
                <w:rFonts w:cs="Arial"/>
                <w:color w:val="000000"/>
                <w:szCs w:val="24"/>
              </w:rPr>
            </w:pPr>
            <w:r w:rsidRPr="00110FC0">
              <w:rPr>
                <w:rFonts w:cs="Arial"/>
                <w:color w:val="000000"/>
                <w:szCs w:val="24"/>
              </w:rPr>
              <w:t>Under 12 months</w:t>
            </w:r>
          </w:p>
        </w:tc>
        <w:tc>
          <w:tcPr>
            <w:tcW w:w="1446"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w:t>
            </w:r>
          </w:p>
        </w:tc>
        <w:tc>
          <w:tcPr>
            <w:tcW w:w="1446"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75</w:t>
            </w:r>
          </w:p>
        </w:tc>
        <w:tc>
          <w:tcPr>
            <w:tcW w:w="1607"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59.9</w:t>
            </w:r>
          </w:p>
        </w:tc>
      </w:tr>
      <w:tr w:rsidR="00EB4425" w:rsidRPr="00110FC0" w:rsidTr="00EB4425">
        <w:trPr>
          <w:trHeight w:val="309"/>
        </w:trPr>
        <w:tc>
          <w:tcPr>
            <w:tcW w:w="399"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p>
        </w:tc>
        <w:tc>
          <w:tcPr>
            <w:tcW w:w="4612" w:type="dxa"/>
            <w:tcBorders>
              <w:top w:val="nil"/>
              <w:left w:val="nil"/>
              <w:bottom w:val="nil"/>
              <w:right w:val="nil"/>
            </w:tcBorders>
            <w:shd w:val="clear" w:color="auto" w:fill="auto"/>
            <w:noWrap/>
            <w:vAlign w:val="bottom"/>
            <w:hideMark/>
          </w:tcPr>
          <w:p w:rsidR="00110FC0" w:rsidRPr="00110FC0" w:rsidRDefault="00110FC0" w:rsidP="00110FC0">
            <w:pPr>
              <w:rPr>
                <w:rFonts w:cs="Arial"/>
                <w:color w:val="000000"/>
                <w:szCs w:val="24"/>
              </w:rPr>
            </w:pPr>
            <w:r w:rsidRPr="00110FC0">
              <w:rPr>
                <w:rFonts w:cs="Arial"/>
                <w:color w:val="000000"/>
                <w:szCs w:val="24"/>
              </w:rPr>
              <w:t>12 months and within 2 years</w:t>
            </w:r>
          </w:p>
        </w:tc>
        <w:tc>
          <w:tcPr>
            <w:tcW w:w="1446"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w:t>
            </w:r>
          </w:p>
        </w:tc>
        <w:tc>
          <w:tcPr>
            <w:tcW w:w="1446"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75</w:t>
            </w:r>
          </w:p>
        </w:tc>
        <w:tc>
          <w:tcPr>
            <w:tcW w:w="1607"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3.1</w:t>
            </w:r>
          </w:p>
        </w:tc>
      </w:tr>
      <w:tr w:rsidR="00EB4425" w:rsidRPr="00110FC0" w:rsidTr="00EB4425">
        <w:trPr>
          <w:trHeight w:val="309"/>
        </w:trPr>
        <w:tc>
          <w:tcPr>
            <w:tcW w:w="399"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p>
        </w:tc>
        <w:tc>
          <w:tcPr>
            <w:tcW w:w="4612" w:type="dxa"/>
            <w:tcBorders>
              <w:top w:val="nil"/>
              <w:left w:val="nil"/>
              <w:bottom w:val="nil"/>
              <w:right w:val="nil"/>
            </w:tcBorders>
            <w:shd w:val="clear" w:color="auto" w:fill="auto"/>
            <w:noWrap/>
            <w:vAlign w:val="bottom"/>
            <w:hideMark/>
          </w:tcPr>
          <w:p w:rsidR="00110FC0" w:rsidRPr="00110FC0" w:rsidRDefault="00110FC0" w:rsidP="00110FC0">
            <w:pPr>
              <w:rPr>
                <w:rFonts w:cs="Arial"/>
                <w:color w:val="000000"/>
                <w:szCs w:val="24"/>
              </w:rPr>
            </w:pPr>
            <w:r w:rsidRPr="00110FC0">
              <w:rPr>
                <w:rFonts w:cs="Arial"/>
                <w:color w:val="000000"/>
                <w:szCs w:val="24"/>
              </w:rPr>
              <w:t>2 years and within 5 years</w:t>
            </w:r>
          </w:p>
        </w:tc>
        <w:tc>
          <w:tcPr>
            <w:tcW w:w="1446"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w:t>
            </w:r>
          </w:p>
        </w:tc>
        <w:tc>
          <w:tcPr>
            <w:tcW w:w="1446"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75</w:t>
            </w:r>
          </w:p>
        </w:tc>
        <w:tc>
          <w:tcPr>
            <w:tcW w:w="1607"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2.8</w:t>
            </w:r>
          </w:p>
        </w:tc>
      </w:tr>
      <w:tr w:rsidR="00EB4425" w:rsidRPr="00110FC0" w:rsidTr="00EB4425">
        <w:trPr>
          <w:trHeight w:val="309"/>
        </w:trPr>
        <w:tc>
          <w:tcPr>
            <w:tcW w:w="399"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p>
        </w:tc>
        <w:tc>
          <w:tcPr>
            <w:tcW w:w="4612" w:type="dxa"/>
            <w:tcBorders>
              <w:top w:val="nil"/>
              <w:left w:val="nil"/>
              <w:bottom w:val="nil"/>
              <w:right w:val="nil"/>
            </w:tcBorders>
            <w:shd w:val="clear" w:color="auto" w:fill="auto"/>
            <w:noWrap/>
            <w:vAlign w:val="bottom"/>
            <w:hideMark/>
          </w:tcPr>
          <w:p w:rsidR="00110FC0" w:rsidRPr="00110FC0" w:rsidRDefault="00110FC0" w:rsidP="00110FC0">
            <w:pPr>
              <w:rPr>
                <w:rFonts w:cs="Arial"/>
                <w:color w:val="000000"/>
                <w:szCs w:val="24"/>
              </w:rPr>
            </w:pPr>
            <w:r w:rsidRPr="00110FC0">
              <w:rPr>
                <w:rFonts w:cs="Arial"/>
                <w:color w:val="000000"/>
                <w:szCs w:val="24"/>
              </w:rPr>
              <w:t>5 years and within 10 years</w:t>
            </w:r>
          </w:p>
        </w:tc>
        <w:tc>
          <w:tcPr>
            <w:tcW w:w="1446"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w:t>
            </w:r>
          </w:p>
        </w:tc>
        <w:tc>
          <w:tcPr>
            <w:tcW w:w="1446"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75</w:t>
            </w:r>
          </w:p>
        </w:tc>
        <w:tc>
          <w:tcPr>
            <w:tcW w:w="1607"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16.3</w:t>
            </w:r>
          </w:p>
        </w:tc>
      </w:tr>
      <w:tr w:rsidR="00EB4425" w:rsidRPr="00110FC0" w:rsidTr="00EB4425">
        <w:trPr>
          <w:trHeight w:val="309"/>
        </w:trPr>
        <w:tc>
          <w:tcPr>
            <w:tcW w:w="399"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p>
        </w:tc>
        <w:tc>
          <w:tcPr>
            <w:tcW w:w="4612" w:type="dxa"/>
            <w:tcBorders>
              <w:top w:val="nil"/>
              <w:left w:val="nil"/>
              <w:bottom w:val="nil"/>
              <w:right w:val="nil"/>
            </w:tcBorders>
            <w:shd w:val="clear" w:color="auto" w:fill="auto"/>
            <w:noWrap/>
            <w:vAlign w:val="bottom"/>
            <w:hideMark/>
          </w:tcPr>
          <w:p w:rsidR="00110FC0" w:rsidRPr="00110FC0" w:rsidRDefault="00110FC0" w:rsidP="00110FC0">
            <w:pPr>
              <w:rPr>
                <w:rFonts w:cs="Arial"/>
                <w:color w:val="000000"/>
                <w:szCs w:val="24"/>
              </w:rPr>
            </w:pPr>
            <w:r w:rsidRPr="00110FC0">
              <w:rPr>
                <w:rFonts w:cs="Arial"/>
                <w:color w:val="000000"/>
                <w:szCs w:val="24"/>
              </w:rPr>
              <w:t>10 years and above</w:t>
            </w:r>
          </w:p>
        </w:tc>
        <w:tc>
          <w:tcPr>
            <w:tcW w:w="1446" w:type="dxa"/>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25</w:t>
            </w:r>
          </w:p>
        </w:tc>
        <w:tc>
          <w:tcPr>
            <w:tcW w:w="1446"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100</w:t>
            </w:r>
          </w:p>
        </w:tc>
        <w:tc>
          <w:tcPr>
            <w:tcW w:w="1607" w:type="dxa"/>
            <w:gridSpan w:val="4"/>
            <w:tcBorders>
              <w:top w:val="nil"/>
              <w:left w:val="nil"/>
              <w:bottom w:val="nil"/>
              <w:right w:val="nil"/>
            </w:tcBorders>
            <w:shd w:val="clear" w:color="auto" w:fill="auto"/>
            <w:noWrap/>
            <w:vAlign w:val="bottom"/>
            <w:hideMark/>
          </w:tcPr>
          <w:p w:rsidR="00110FC0" w:rsidRPr="00110FC0" w:rsidRDefault="00110FC0" w:rsidP="00110FC0">
            <w:pPr>
              <w:jc w:val="center"/>
              <w:rPr>
                <w:rFonts w:cs="Arial"/>
                <w:color w:val="000000"/>
                <w:szCs w:val="24"/>
              </w:rPr>
            </w:pPr>
            <w:r w:rsidRPr="00110FC0">
              <w:rPr>
                <w:rFonts w:cs="Arial"/>
                <w:color w:val="000000"/>
                <w:szCs w:val="24"/>
              </w:rPr>
              <w:t>11.1</w:t>
            </w:r>
          </w:p>
        </w:tc>
      </w:tr>
    </w:tbl>
    <w:p w:rsidR="00110FC0" w:rsidRDefault="00110FC0" w:rsidP="00A55282">
      <w:pPr>
        <w:jc w:val="both"/>
        <w:rPr>
          <w:rFonts w:cs="Arial"/>
          <w:szCs w:val="24"/>
        </w:rPr>
      </w:pPr>
    </w:p>
    <w:p w:rsidR="00803C92" w:rsidRDefault="00803C92">
      <w:pPr>
        <w:rPr>
          <w:rFonts w:cs="Arial"/>
          <w:szCs w:val="24"/>
        </w:rPr>
      </w:pPr>
      <w:r>
        <w:rPr>
          <w:rFonts w:cs="Arial"/>
          <w:szCs w:val="24"/>
        </w:rPr>
        <w:br w:type="page"/>
      </w:r>
    </w:p>
    <w:p w:rsidR="00C920DC" w:rsidRPr="00C93FC8" w:rsidRDefault="00C920DC" w:rsidP="00A55282">
      <w:pPr>
        <w:jc w:val="both"/>
        <w:rPr>
          <w:rFonts w:cs="Arial"/>
          <w:szCs w:val="24"/>
        </w:rPr>
      </w:pPr>
      <w:r w:rsidRPr="00C93FC8">
        <w:rPr>
          <w:rFonts w:cs="Arial"/>
          <w:szCs w:val="24"/>
        </w:rPr>
        <w:t xml:space="preserve">The </w:t>
      </w:r>
      <w:r w:rsidR="00124AD6" w:rsidRPr="00C93FC8">
        <w:rPr>
          <w:rFonts w:cs="Arial"/>
          <w:szCs w:val="24"/>
        </w:rPr>
        <w:t>Council</w:t>
      </w:r>
      <w:r w:rsidRPr="00C93FC8">
        <w:rPr>
          <w:rFonts w:cs="Arial"/>
          <w:szCs w:val="24"/>
        </w:rPr>
        <w:t xml:space="preserve"> confirms that it has complied with its Prudential Indicators</w:t>
      </w:r>
      <w:r w:rsidR="00B8682A" w:rsidRPr="00C93FC8">
        <w:rPr>
          <w:rFonts w:cs="Arial"/>
          <w:szCs w:val="24"/>
        </w:rPr>
        <w:t xml:space="preserve"> for 2014/15</w:t>
      </w:r>
      <w:r w:rsidRPr="00C93FC8">
        <w:rPr>
          <w:rFonts w:cs="Arial"/>
          <w:szCs w:val="24"/>
        </w:rPr>
        <w:t xml:space="preserve">, which were approved on </w:t>
      </w:r>
      <w:r w:rsidR="001B0D43" w:rsidRPr="00C93FC8">
        <w:rPr>
          <w:rFonts w:cs="Arial"/>
          <w:szCs w:val="24"/>
        </w:rPr>
        <w:t>20</w:t>
      </w:r>
      <w:r w:rsidR="008B6CAA" w:rsidRPr="00C93FC8">
        <w:rPr>
          <w:rFonts w:cs="Arial"/>
          <w:szCs w:val="24"/>
        </w:rPr>
        <w:t>th</w:t>
      </w:r>
      <w:r w:rsidR="00B8682A" w:rsidRPr="00C93FC8">
        <w:rPr>
          <w:rFonts w:cs="Arial"/>
          <w:szCs w:val="24"/>
        </w:rPr>
        <w:t xml:space="preserve"> February 201</w:t>
      </w:r>
      <w:r w:rsidR="001B0D43" w:rsidRPr="00C93FC8">
        <w:rPr>
          <w:rFonts w:cs="Arial"/>
          <w:szCs w:val="24"/>
        </w:rPr>
        <w:t>4</w:t>
      </w:r>
      <w:r w:rsidRPr="00C93FC8">
        <w:rPr>
          <w:rFonts w:cs="Arial"/>
          <w:szCs w:val="24"/>
        </w:rPr>
        <w:t xml:space="preserve"> as part of the </w:t>
      </w:r>
      <w:r w:rsidR="00C83B85" w:rsidRPr="00C93FC8">
        <w:rPr>
          <w:rFonts w:cs="Arial"/>
          <w:szCs w:val="24"/>
        </w:rPr>
        <w:t>Council</w:t>
      </w:r>
      <w:r w:rsidRPr="00C93FC8">
        <w:rPr>
          <w:rFonts w:cs="Arial"/>
          <w:szCs w:val="24"/>
        </w:rPr>
        <w:t>’s Treasur</w:t>
      </w:r>
      <w:r w:rsidR="00BC03DE" w:rsidRPr="00C93FC8">
        <w:rPr>
          <w:rFonts w:cs="Arial"/>
          <w:szCs w:val="24"/>
        </w:rPr>
        <w:t>y Management Strategy Statement.</w:t>
      </w:r>
    </w:p>
    <w:p w:rsidR="00C93FC8" w:rsidRPr="00C93FC8" w:rsidRDefault="00C93FC8" w:rsidP="00A55282">
      <w:pPr>
        <w:jc w:val="both"/>
        <w:rPr>
          <w:rFonts w:cs="Arial"/>
          <w:szCs w:val="24"/>
        </w:rPr>
      </w:pPr>
    </w:p>
    <w:p w:rsidR="00C920DC" w:rsidRPr="002F4C6D" w:rsidRDefault="00C920DC" w:rsidP="00A55282">
      <w:pPr>
        <w:jc w:val="both"/>
        <w:rPr>
          <w:rFonts w:cs="Arial"/>
          <w:szCs w:val="24"/>
        </w:rPr>
      </w:pPr>
      <w:r w:rsidRPr="002F4C6D">
        <w:rPr>
          <w:rFonts w:cs="Arial"/>
          <w:szCs w:val="24"/>
        </w:rPr>
        <w:t xml:space="preserve">The </w:t>
      </w:r>
      <w:r w:rsidR="00C83B85" w:rsidRPr="002F4C6D">
        <w:rPr>
          <w:rFonts w:cs="Arial"/>
          <w:szCs w:val="24"/>
        </w:rPr>
        <w:t>Council</w:t>
      </w:r>
      <w:r w:rsidRPr="002F4C6D">
        <w:rPr>
          <w:rFonts w:cs="Arial"/>
          <w:szCs w:val="24"/>
        </w:rPr>
        <w:t xml:space="preserve"> a</w:t>
      </w:r>
      <w:r w:rsidR="00B8682A" w:rsidRPr="002F4C6D">
        <w:rPr>
          <w:rFonts w:cs="Arial"/>
          <w:szCs w:val="24"/>
        </w:rPr>
        <w:t>lso confirms that</w:t>
      </w:r>
      <w:bookmarkStart w:id="0" w:name="_GoBack"/>
      <w:bookmarkEnd w:id="0"/>
      <w:r w:rsidR="00B8682A" w:rsidRPr="002F4C6D">
        <w:rPr>
          <w:rFonts w:cs="Arial"/>
          <w:szCs w:val="24"/>
        </w:rPr>
        <w:t xml:space="preserve"> during 2014/15</w:t>
      </w:r>
      <w:r w:rsidRPr="002F4C6D">
        <w:rPr>
          <w:rFonts w:cs="Arial"/>
          <w:szCs w:val="24"/>
        </w:rPr>
        <w:t xml:space="preserve"> it complied with its Treasury Management Policy Statement and Treasury Management Practices.</w:t>
      </w:r>
    </w:p>
    <w:p w:rsidR="00651C1C" w:rsidRDefault="00651C1C">
      <w:pPr>
        <w:rPr>
          <w:rFonts w:cs="Arial"/>
          <w:b/>
          <w:szCs w:val="24"/>
          <w:highlight w:val="yellow"/>
        </w:rPr>
      </w:pPr>
      <w:r>
        <w:rPr>
          <w:rFonts w:cs="Arial"/>
          <w:b/>
          <w:szCs w:val="24"/>
          <w:highlight w:val="yellow"/>
        </w:rPr>
        <w:br w:type="page"/>
      </w:r>
    </w:p>
    <w:p w:rsidR="006A1B86" w:rsidRDefault="006A1B86">
      <w:pPr>
        <w:rPr>
          <w:rFonts w:cs="Arial"/>
          <w:b/>
          <w:szCs w:val="24"/>
          <w:highlight w:val="yellow"/>
        </w:rPr>
      </w:pPr>
      <w:r>
        <w:rPr>
          <w:rFonts w:cs="Arial"/>
          <w:b/>
          <w:szCs w:val="24"/>
          <w:highlight w:val="yellow"/>
        </w:rPr>
        <w:br w:type="page"/>
      </w:r>
    </w:p>
    <w:p w:rsidR="0095344C" w:rsidRDefault="0095344C">
      <w:pPr>
        <w:rPr>
          <w:rFonts w:cs="Arial"/>
          <w:b/>
          <w:szCs w:val="24"/>
        </w:rPr>
      </w:pPr>
    </w:p>
    <w:p w:rsidR="00902F51" w:rsidRPr="002F4C6D" w:rsidRDefault="00902F51" w:rsidP="002F4C6D">
      <w:pPr>
        <w:jc w:val="both"/>
        <w:rPr>
          <w:rFonts w:cs="Arial"/>
          <w:b/>
          <w:szCs w:val="24"/>
        </w:rPr>
      </w:pPr>
    </w:p>
    <w:p w:rsidR="00A745F4" w:rsidRPr="002F4C6D" w:rsidRDefault="00A745F4" w:rsidP="002F4C6D">
      <w:pPr>
        <w:jc w:val="both"/>
        <w:rPr>
          <w:rFonts w:cs="Arial"/>
          <w:b/>
          <w:szCs w:val="24"/>
          <w:highlight w:val="yellow"/>
          <w:u w:val="single"/>
        </w:rPr>
      </w:pPr>
    </w:p>
    <w:p w:rsidR="00962ABD" w:rsidRPr="002A5898" w:rsidRDefault="00962ABD">
      <w:pPr>
        <w:rPr>
          <w:b/>
          <w:sz w:val="96"/>
          <w:szCs w:val="96"/>
          <w:highlight w:val="yellow"/>
        </w:rPr>
      </w:pPr>
      <w:r w:rsidRPr="002A5898">
        <w:rPr>
          <w:b/>
          <w:sz w:val="96"/>
          <w:szCs w:val="96"/>
          <w:highlight w:val="yellow"/>
        </w:rPr>
        <w:t xml:space="preserve">   </w:t>
      </w:r>
    </w:p>
    <w:p w:rsidR="00962ABD" w:rsidRDefault="00962ABD">
      <w:pPr>
        <w:rPr>
          <w:b/>
          <w:sz w:val="96"/>
          <w:szCs w:val="96"/>
          <w:highlight w:val="yellow"/>
        </w:rPr>
      </w:pPr>
    </w:p>
    <w:p w:rsidR="0093022E" w:rsidRPr="002A5898" w:rsidRDefault="0093022E">
      <w:pPr>
        <w:rPr>
          <w:b/>
          <w:sz w:val="96"/>
          <w:szCs w:val="96"/>
          <w:highlight w:val="yellow"/>
        </w:rPr>
      </w:pPr>
    </w:p>
    <w:p w:rsidR="00D75BE4" w:rsidRDefault="00962ABD">
      <w:pPr>
        <w:rPr>
          <w:b/>
          <w:sz w:val="96"/>
          <w:szCs w:val="96"/>
        </w:rPr>
      </w:pPr>
      <w:r w:rsidRPr="00B8682A">
        <w:rPr>
          <w:b/>
          <w:sz w:val="96"/>
          <w:szCs w:val="96"/>
        </w:rPr>
        <w:t xml:space="preserve">      </w:t>
      </w:r>
      <w:r w:rsidR="00D75BE4">
        <w:rPr>
          <w:b/>
          <w:sz w:val="96"/>
          <w:szCs w:val="96"/>
        </w:rPr>
        <w:t xml:space="preserve">          </w:t>
      </w:r>
    </w:p>
    <w:p w:rsidR="00D75BE4" w:rsidRDefault="00D75BE4">
      <w:pPr>
        <w:rPr>
          <w:b/>
          <w:sz w:val="96"/>
          <w:szCs w:val="96"/>
        </w:rPr>
      </w:pPr>
    </w:p>
    <w:p w:rsidR="00A177C3" w:rsidRDefault="00457B48" w:rsidP="00651C1C">
      <w:pPr>
        <w:jc w:val="center"/>
        <w:rPr>
          <w:b/>
          <w:sz w:val="96"/>
          <w:szCs w:val="96"/>
          <w:u w:val="single"/>
        </w:rPr>
      </w:pPr>
      <w:r w:rsidRPr="00D75BE4">
        <w:rPr>
          <w:b/>
          <w:sz w:val="144"/>
          <w:szCs w:val="144"/>
          <w:u w:val="single"/>
        </w:rPr>
        <w:t>Appendices</w:t>
      </w:r>
    </w:p>
    <w:p w:rsidR="0093022E" w:rsidRDefault="0093022E">
      <w:pPr>
        <w:rPr>
          <w:b/>
          <w:sz w:val="96"/>
          <w:szCs w:val="96"/>
          <w:u w:val="single"/>
        </w:rPr>
      </w:pPr>
    </w:p>
    <w:p w:rsidR="006A1B86" w:rsidRDefault="006A1B86">
      <w:pPr>
        <w:rPr>
          <w:b/>
          <w:sz w:val="96"/>
          <w:szCs w:val="96"/>
          <w:u w:val="single"/>
        </w:rPr>
      </w:pPr>
      <w:r>
        <w:rPr>
          <w:b/>
          <w:sz w:val="96"/>
          <w:szCs w:val="96"/>
          <w:u w:val="single"/>
        </w:rPr>
        <w:br w:type="page"/>
      </w:r>
    </w:p>
    <w:p w:rsidR="006A1B86" w:rsidRDefault="006A1B86">
      <w:pPr>
        <w:rPr>
          <w:b/>
          <w:sz w:val="96"/>
          <w:szCs w:val="96"/>
          <w:u w:val="single"/>
        </w:rPr>
      </w:pPr>
      <w:r>
        <w:rPr>
          <w:b/>
          <w:sz w:val="96"/>
          <w:szCs w:val="96"/>
          <w:u w:val="single"/>
        </w:rPr>
        <w:br w:type="page"/>
      </w:r>
    </w:p>
    <w:p w:rsidR="00651C1C" w:rsidRDefault="00651C1C">
      <w:pPr>
        <w:rPr>
          <w:b/>
          <w:sz w:val="96"/>
          <w:szCs w:val="96"/>
          <w:u w:val="single"/>
        </w:rPr>
        <w:sectPr w:rsidR="00651C1C" w:rsidSect="004B27E0">
          <w:footerReference w:type="default" r:id="rId14"/>
          <w:footerReference w:type="first" r:id="rId15"/>
          <w:pgSz w:w="11907" w:h="16840" w:code="9"/>
          <w:pgMar w:top="1440" w:right="1440" w:bottom="1440" w:left="1440" w:header="720" w:footer="306" w:gutter="0"/>
          <w:paperSrc w:first="7" w:other="7"/>
          <w:cols w:space="720"/>
          <w:docGrid w:linePitch="326"/>
        </w:sectPr>
      </w:pPr>
    </w:p>
    <w:p w:rsidR="003C34F6" w:rsidRDefault="00BE4959" w:rsidP="00DF6160">
      <w:pPr>
        <w:rPr>
          <w:b/>
        </w:rPr>
      </w:pPr>
      <w:r>
        <w:rPr>
          <w:noProof/>
        </w:rPr>
        <w:drawing>
          <wp:inline distT="0" distB="0" distL="0" distR="0" wp14:anchorId="1C8DFCC0" wp14:editId="0E262154">
            <wp:extent cx="9153525" cy="55054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177C3">
        <w:br w:type="page"/>
      </w:r>
      <w:r>
        <w:rPr>
          <w:noProof/>
        </w:rPr>
        <w:drawing>
          <wp:inline distT="0" distB="0" distL="0" distR="0" wp14:anchorId="67D9433E" wp14:editId="14F5966A">
            <wp:extent cx="8777605" cy="6191250"/>
            <wp:effectExtent l="0" t="0" r="444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3C34F6" w:rsidSect="00651C1C">
      <w:pgSz w:w="16840" w:h="11907" w:orient="landscape" w:code="9"/>
      <w:pgMar w:top="1440" w:right="1440" w:bottom="1440" w:left="1440" w:header="720" w:footer="306"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25B" w:rsidRDefault="002D025B">
      <w:r>
        <w:separator/>
      </w:r>
    </w:p>
  </w:endnote>
  <w:endnote w:type="continuationSeparator" w:id="0">
    <w:p w:rsidR="002D025B" w:rsidRDefault="002D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369195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F6" w:rsidRDefault="00BC44F6">
    <w:pPr>
      <w:pStyle w:val="Footer"/>
      <w:jc w:val="center"/>
    </w:pPr>
  </w:p>
  <w:p w:rsidR="00BC44F6" w:rsidRDefault="00BC44F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647267"/>
      <w:docPartObj>
        <w:docPartGallery w:val="Page Numbers (Bottom of Page)"/>
        <w:docPartUnique/>
      </w:docPartObj>
    </w:sdtPr>
    <w:sdtEndPr>
      <w:rPr>
        <w:noProof/>
      </w:rPr>
    </w:sdtEndPr>
    <w:sdtContent>
      <w:p w:rsidR="00BC44F6" w:rsidRDefault="00BC44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C44F6" w:rsidRDefault="00BC44F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25B" w:rsidRDefault="002D025B">
      <w:r>
        <w:separator/>
      </w:r>
    </w:p>
  </w:footnote>
  <w:footnote w:type="continuationSeparator" w:id="0">
    <w:p w:rsidR="002D025B" w:rsidRDefault="002D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8"/>
    <w:lvl w:ilvl="0">
      <w:start w:val="1"/>
      <w:numFmt w:val="decimal"/>
      <w:lvlText w:val="%1."/>
      <w:lvlJc w:val="left"/>
      <w:pPr>
        <w:tabs>
          <w:tab w:val="num" w:pos="720"/>
        </w:tabs>
        <w:ind w:left="720" w:hanging="720"/>
      </w:pPr>
      <w:rPr>
        <w:rFonts w:ascii="Verdana" w:hAnsi="Verdana" w:cs="Times New Roman"/>
        <w:sz w:val="20"/>
        <w:szCs w:val="20"/>
      </w:rPr>
    </w:lvl>
  </w:abstractNum>
  <w:abstractNum w:abstractNumId="1">
    <w:nsid w:val="000B4694"/>
    <w:multiLevelType w:val="hybridMultilevel"/>
    <w:tmpl w:val="BB2CF7BC"/>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40E41AC"/>
    <w:multiLevelType w:val="hybridMultilevel"/>
    <w:tmpl w:val="34E0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A048B"/>
    <w:multiLevelType w:val="hybridMultilevel"/>
    <w:tmpl w:val="9470F8A4"/>
    <w:lvl w:ilvl="0" w:tplc="78CC8C72">
      <w:start w:val="3"/>
      <w:numFmt w:val="bullet"/>
      <w:lvlText w:val="-"/>
      <w:lvlJc w:val="left"/>
      <w:pPr>
        <w:ind w:left="720" w:hanging="360"/>
      </w:pPr>
      <w:rPr>
        <w:rFonts w:ascii="TT369195o00" w:eastAsia="Times New Roman" w:hAnsi="TT369195o00"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D0133"/>
    <w:multiLevelType w:val="hybridMultilevel"/>
    <w:tmpl w:val="571A0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97906"/>
    <w:multiLevelType w:val="hybridMultilevel"/>
    <w:tmpl w:val="76FC0DE8"/>
    <w:lvl w:ilvl="0" w:tplc="8B42CFCC">
      <w:start w:val="2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83881"/>
    <w:multiLevelType w:val="hybridMultilevel"/>
    <w:tmpl w:val="02EC95CA"/>
    <w:lvl w:ilvl="0" w:tplc="1D5EE064">
      <w:start w:val="1"/>
      <w:numFmt w:val="decimal"/>
      <w:lvlText w:val="%1."/>
      <w:lvlJc w:val="left"/>
      <w:pPr>
        <w:ind w:left="1080" w:hanging="360"/>
      </w:pPr>
      <w:rPr>
        <w:rFonts w:cs="Times New Roman" w:hint="default"/>
        <w:sz w:val="24"/>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0FC36579"/>
    <w:multiLevelType w:val="hybridMultilevel"/>
    <w:tmpl w:val="9A9A9F9A"/>
    <w:lvl w:ilvl="0" w:tplc="9D067338">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A14B74"/>
    <w:multiLevelType w:val="hybridMultilevel"/>
    <w:tmpl w:val="0090E5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167962E6"/>
    <w:multiLevelType w:val="hybridMultilevel"/>
    <w:tmpl w:val="7D909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0E0C01"/>
    <w:multiLevelType w:val="hybridMultilevel"/>
    <w:tmpl w:val="C3C2686A"/>
    <w:lvl w:ilvl="0" w:tplc="E8349FBE">
      <w:start w:val="2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4339"/>
    <w:multiLevelType w:val="hybridMultilevel"/>
    <w:tmpl w:val="4C20D44E"/>
    <w:lvl w:ilvl="0" w:tplc="08A04D7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CF65178"/>
    <w:multiLevelType w:val="hybridMultilevel"/>
    <w:tmpl w:val="5FA6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7603C9"/>
    <w:multiLevelType w:val="hybridMultilevel"/>
    <w:tmpl w:val="E13404D6"/>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nsid w:val="2E0418DF"/>
    <w:multiLevelType w:val="hybridMultilevel"/>
    <w:tmpl w:val="9EDE53C0"/>
    <w:lvl w:ilvl="0" w:tplc="8CAC34C4">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0724E37"/>
    <w:multiLevelType w:val="hybridMultilevel"/>
    <w:tmpl w:val="A2DC81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2101D"/>
    <w:multiLevelType w:val="hybridMultilevel"/>
    <w:tmpl w:val="61DE1D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DDF4CAA"/>
    <w:multiLevelType w:val="hybridMultilevel"/>
    <w:tmpl w:val="A1108C2C"/>
    <w:lvl w:ilvl="0" w:tplc="0809000F">
      <w:start w:val="5"/>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8">
    <w:nsid w:val="44146692"/>
    <w:multiLevelType w:val="hybridMultilevel"/>
    <w:tmpl w:val="6BE2330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46AD1FF2"/>
    <w:multiLevelType w:val="hybridMultilevel"/>
    <w:tmpl w:val="6970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74C67"/>
    <w:multiLevelType w:val="singleLevel"/>
    <w:tmpl w:val="55A8656E"/>
    <w:lvl w:ilvl="0">
      <w:start w:val="1"/>
      <w:numFmt w:val="decimal"/>
      <w:lvlText w:val="%1."/>
      <w:lvlJc w:val="left"/>
      <w:pPr>
        <w:tabs>
          <w:tab w:val="num" w:pos="720"/>
        </w:tabs>
        <w:ind w:left="720" w:hanging="720"/>
      </w:pPr>
      <w:rPr>
        <w:rFonts w:cs="Times New Roman"/>
      </w:rPr>
    </w:lvl>
  </w:abstractNum>
  <w:abstractNum w:abstractNumId="21">
    <w:nsid w:val="494B0899"/>
    <w:multiLevelType w:val="hybridMultilevel"/>
    <w:tmpl w:val="D3702A3A"/>
    <w:lvl w:ilvl="0" w:tplc="316EA3C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175FE3"/>
    <w:multiLevelType w:val="hybridMultilevel"/>
    <w:tmpl w:val="B136D6EA"/>
    <w:lvl w:ilvl="0" w:tplc="3B64DF6E">
      <w:start w:val="1"/>
      <w:numFmt w:val="decimal"/>
      <w:lvlText w:val="%1."/>
      <w:lvlJc w:val="left"/>
      <w:pPr>
        <w:ind w:left="786" w:hanging="360"/>
      </w:pPr>
      <w:rPr>
        <w:rFonts w:cs="Times New Roman" w:hint="default"/>
        <w:b w:val="0"/>
        <w:sz w:val="20"/>
        <w:szCs w:val="2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3">
    <w:nsid w:val="559F0CD8"/>
    <w:multiLevelType w:val="hybridMultilevel"/>
    <w:tmpl w:val="BCA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347E1E"/>
    <w:multiLevelType w:val="hybridMultilevel"/>
    <w:tmpl w:val="277E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FF3CC4"/>
    <w:multiLevelType w:val="hybridMultilevel"/>
    <w:tmpl w:val="B0D0D2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9187EAD"/>
    <w:multiLevelType w:val="hybridMultilevel"/>
    <w:tmpl w:val="A2A05C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8AA753A"/>
    <w:multiLevelType w:val="hybridMultilevel"/>
    <w:tmpl w:val="5E323932"/>
    <w:lvl w:ilvl="0" w:tplc="65DACBB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43574A"/>
    <w:multiLevelType w:val="hybridMultilevel"/>
    <w:tmpl w:val="EC3C6AD8"/>
    <w:lvl w:ilvl="0" w:tplc="78F019A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20"/>
  </w:num>
  <w:num w:numId="4">
    <w:abstractNumId w:val="18"/>
  </w:num>
  <w:num w:numId="5">
    <w:abstractNumId w:val="26"/>
  </w:num>
  <w:num w:numId="6">
    <w:abstractNumId w:val="25"/>
  </w:num>
  <w:num w:numId="7">
    <w:abstractNumId w:val="16"/>
  </w:num>
  <w:num w:numId="8">
    <w:abstractNumId w:val="17"/>
  </w:num>
  <w:num w:numId="9">
    <w:abstractNumId w:val="0"/>
  </w:num>
  <w:num w:numId="10">
    <w:abstractNumId w:val="8"/>
  </w:num>
  <w:num w:numId="11">
    <w:abstractNumId w:val="12"/>
  </w:num>
  <w:num w:numId="12">
    <w:abstractNumId w:val="27"/>
  </w:num>
  <w:num w:numId="13">
    <w:abstractNumId w:val="3"/>
  </w:num>
  <w:num w:numId="14">
    <w:abstractNumId w:val="24"/>
  </w:num>
  <w:num w:numId="15">
    <w:abstractNumId w:val="9"/>
  </w:num>
  <w:num w:numId="16">
    <w:abstractNumId w:val="1"/>
  </w:num>
  <w:num w:numId="17">
    <w:abstractNumId w:val="14"/>
  </w:num>
  <w:num w:numId="18">
    <w:abstractNumId w:val="6"/>
  </w:num>
  <w:num w:numId="19">
    <w:abstractNumId w:val="23"/>
  </w:num>
  <w:num w:numId="20">
    <w:abstractNumId w:val="13"/>
  </w:num>
  <w:num w:numId="21">
    <w:abstractNumId w:val="22"/>
  </w:num>
  <w:num w:numId="22">
    <w:abstractNumId w:val="7"/>
  </w:num>
  <w:num w:numId="23">
    <w:abstractNumId w:val="10"/>
  </w:num>
  <w:num w:numId="24">
    <w:abstractNumId w:val="5"/>
  </w:num>
  <w:num w:numId="25">
    <w:abstractNumId w:val="19"/>
  </w:num>
  <w:num w:numId="26">
    <w:abstractNumId w:val="11"/>
  </w:num>
  <w:num w:numId="27">
    <w:abstractNumId w:val="15"/>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21EB"/>
    <w:rsid w:val="00010062"/>
    <w:rsid w:val="000250BE"/>
    <w:rsid w:val="00025978"/>
    <w:rsid w:val="00032D99"/>
    <w:rsid w:val="00033608"/>
    <w:rsid w:val="0004210E"/>
    <w:rsid w:val="00046E67"/>
    <w:rsid w:val="0006455C"/>
    <w:rsid w:val="000676A2"/>
    <w:rsid w:val="00074901"/>
    <w:rsid w:val="00075C29"/>
    <w:rsid w:val="000815C1"/>
    <w:rsid w:val="00094CC4"/>
    <w:rsid w:val="000965A2"/>
    <w:rsid w:val="00097A0D"/>
    <w:rsid w:val="000A4614"/>
    <w:rsid w:val="000A72B6"/>
    <w:rsid w:val="000B71C1"/>
    <w:rsid w:val="000B7BEC"/>
    <w:rsid w:val="000C22A9"/>
    <w:rsid w:val="000E7619"/>
    <w:rsid w:val="000F1A22"/>
    <w:rsid w:val="000F1CBE"/>
    <w:rsid w:val="000F4856"/>
    <w:rsid w:val="00103A87"/>
    <w:rsid w:val="00104F85"/>
    <w:rsid w:val="00110FC0"/>
    <w:rsid w:val="00111A9A"/>
    <w:rsid w:val="00111BF8"/>
    <w:rsid w:val="001124B0"/>
    <w:rsid w:val="00112FF3"/>
    <w:rsid w:val="00120C3C"/>
    <w:rsid w:val="00124AD6"/>
    <w:rsid w:val="00130B33"/>
    <w:rsid w:val="00133289"/>
    <w:rsid w:val="00133C6D"/>
    <w:rsid w:val="00134691"/>
    <w:rsid w:val="00135B00"/>
    <w:rsid w:val="001453CE"/>
    <w:rsid w:val="00155923"/>
    <w:rsid w:val="00167E1C"/>
    <w:rsid w:val="001836E2"/>
    <w:rsid w:val="001876A9"/>
    <w:rsid w:val="001902B6"/>
    <w:rsid w:val="001922F8"/>
    <w:rsid w:val="00196A55"/>
    <w:rsid w:val="0019760E"/>
    <w:rsid w:val="001A2A7A"/>
    <w:rsid w:val="001A491E"/>
    <w:rsid w:val="001B0D43"/>
    <w:rsid w:val="001B2F63"/>
    <w:rsid w:val="001B4947"/>
    <w:rsid w:val="001B79E8"/>
    <w:rsid w:val="001C67BC"/>
    <w:rsid w:val="001C7027"/>
    <w:rsid w:val="001D1D5B"/>
    <w:rsid w:val="001E3AF0"/>
    <w:rsid w:val="001E6053"/>
    <w:rsid w:val="001E643C"/>
    <w:rsid w:val="001E7BFF"/>
    <w:rsid w:val="001F325D"/>
    <w:rsid w:val="0020099D"/>
    <w:rsid w:val="00202F32"/>
    <w:rsid w:val="00204381"/>
    <w:rsid w:val="00205462"/>
    <w:rsid w:val="002074B6"/>
    <w:rsid w:val="00207D76"/>
    <w:rsid w:val="002100AD"/>
    <w:rsid w:val="002102F7"/>
    <w:rsid w:val="00214D21"/>
    <w:rsid w:val="0022167E"/>
    <w:rsid w:val="002216DE"/>
    <w:rsid w:val="00222490"/>
    <w:rsid w:val="002339EF"/>
    <w:rsid w:val="002375FF"/>
    <w:rsid w:val="00247C29"/>
    <w:rsid w:val="00251D2B"/>
    <w:rsid w:val="00264227"/>
    <w:rsid w:val="00264333"/>
    <w:rsid w:val="0027027C"/>
    <w:rsid w:val="00274F52"/>
    <w:rsid w:val="00277109"/>
    <w:rsid w:val="0028238A"/>
    <w:rsid w:val="002831CB"/>
    <w:rsid w:val="0028407E"/>
    <w:rsid w:val="0028461B"/>
    <w:rsid w:val="0028576C"/>
    <w:rsid w:val="002872C2"/>
    <w:rsid w:val="00287610"/>
    <w:rsid w:val="002A0A28"/>
    <w:rsid w:val="002A1916"/>
    <w:rsid w:val="002A19AE"/>
    <w:rsid w:val="002A3994"/>
    <w:rsid w:val="002A5898"/>
    <w:rsid w:val="002A6244"/>
    <w:rsid w:val="002A720F"/>
    <w:rsid w:val="002B060B"/>
    <w:rsid w:val="002B11AF"/>
    <w:rsid w:val="002B6620"/>
    <w:rsid w:val="002C11CD"/>
    <w:rsid w:val="002C4D79"/>
    <w:rsid w:val="002D025B"/>
    <w:rsid w:val="002E087B"/>
    <w:rsid w:val="002E16B0"/>
    <w:rsid w:val="002E1EA5"/>
    <w:rsid w:val="002E3FEF"/>
    <w:rsid w:val="002E41FD"/>
    <w:rsid w:val="002E5553"/>
    <w:rsid w:val="002F4C6D"/>
    <w:rsid w:val="002F572E"/>
    <w:rsid w:val="00302E67"/>
    <w:rsid w:val="003133CB"/>
    <w:rsid w:val="003206A9"/>
    <w:rsid w:val="0032129A"/>
    <w:rsid w:val="00322071"/>
    <w:rsid w:val="00323279"/>
    <w:rsid w:val="00323C85"/>
    <w:rsid w:val="0033577B"/>
    <w:rsid w:val="00340827"/>
    <w:rsid w:val="00344486"/>
    <w:rsid w:val="0034530B"/>
    <w:rsid w:val="00345FB0"/>
    <w:rsid w:val="0034674A"/>
    <w:rsid w:val="00350F5C"/>
    <w:rsid w:val="00354CAC"/>
    <w:rsid w:val="00354F53"/>
    <w:rsid w:val="0035598E"/>
    <w:rsid w:val="00357954"/>
    <w:rsid w:val="003614F8"/>
    <w:rsid w:val="003662EE"/>
    <w:rsid w:val="00367BF9"/>
    <w:rsid w:val="003709C7"/>
    <w:rsid w:val="00382002"/>
    <w:rsid w:val="00383F8F"/>
    <w:rsid w:val="0038479E"/>
    <w:rsid w:val="00387CA1"/>
    <w:rsid w:val="00390887"/>
    <w:rsid w:val="00394188"/>
    <w:rsid w:val="00394237"/>
    <w:rsid w:val="00394475"/>
    <w:rsid w:val="00396843"/>
    <w:rsid w:val="003A533A"/>
    <w:rsid w:val="003A645E"/>
    <w:rsid w:val="003A7929"/>
    <w:rsid w:val="003B3BE5"/>
    <w:rsid w:val="003B4975"/>
    <w:rsid w:val="003C00FC"/>
    <w:rsid w:val="003C2126"/>
    <w:rsid w:val="003C34F6"/>
    <w:rsid w:val="003C480A"/>
    <w:rsid w:val="003D1CB8"/>
    <w:rsid w:val="003D44D2"/>
    <w:rsid w:val="003E363E"/>
    <w:rsid w:val="003E6A45"/>
    <w:rsid w:val="003F4C1E"/>
    <w:rsid w:val="003F53F8"/>
    <w:rsid w:val="0040093B"/>
    <w:rsid w:val="004038BE"/>
    <w:rsid w:val="004067DE"/>
    <w:rsid w:val="00410768"/>
    <w:rsid w:val="00410B7C"/>
    <w:rsid w:val="00410BF2"/>
    <w:rsid w:val="004123F8"/>
    <w:rsid w:val="0042146D"/>
    <w:rsid w:val="0042450E"/>
    <w:rsid w:val="00424742"/>
    <w:rsid w:val="0042486C"/>
    <w:rsid w:val="004262F6"/>
    <w:rsid w:val="0043457E"/>
    <w:rsid w:val="004375AD"/>
    <w:rsid w:val="00437DCF"/>
    <w:rsid w:val="00446A92"/>
    <w:rsid w:val="0044710C"/>
    <w:rsid w:val="0045359E"/>
    <w:rsid w:val="00454BF2"/>
    <w:rsid w:val="00457B48"/>
    <w:rsid w:val="00463E94"/>
    <w:rsid w:val="004764AB"/>
    <w:rsid w:val="0048117D"/>
    <w:rsid w:val="00481F0C"/>
    <w:rsid w:val="0048578A"/>
    <w:rsid w:val="0049076A"/>
    <w:rsid w:val="00491B24"/>
    <w:rsid w:val="00492A2B"/>
    <w:rsid w:val="00496CC3"/>
    <w:rsid w:val="004A586C"/>
    <w:rsid w:val="004A6037"/>
    <w:rsid w:val="004A60EA"/>
    <w:rsid w:val="004B27E0"/>
    <w:rsid w:val="004B418C"/>
    <w:rsid w:val="004B50AF"/>
    <w:rsid w:val="004B5D96"/>
    <w:rsid w:val="004C50F4"/>
    <w:rsid w:val="004D3574"/>
    <w:rsid w:val="004D4931"/>
    <w:rsid w:val="004D7A17"/>
    <w:rsid w:val="004E1F6A"/>
    <w:rsid w:val="004E3449"/>
    <w:rsid w:val="004E6ECB"/>
    <w:rsid w:val="004F2069"/>
    <w:rsid w:val="004F48AF"/>
    <w:rsid w:val="004F6A12"/>
    <w:rsid w:val="0050344A"/>
    <w:rsid w:val="005048BB"/>
    <w:rsid w:val="00510532"/>
    <w:rsid w:val="0051430A"/>
    <w:rsid w:val="00516DB3"/>
    <w:rsid w:val="005205B0"/>
    <w:rsid w:val="005207C6"/>
    <w:rsid w:val="00520912"/>
    <w:rsid w:val="00523CB2"/>
    <w:rsid w:val="0053095C"/>
    <w:rsid w:val="00532C47"/>
    <w:rsid w:val="00534AA2"/>
    <w:rsid w:val="00537653"/>
    <w:rsid w:val="00541200"/>
    <w:rsid w:val="00542C08"/>
    <w:rsid w:val="00543887"/>
    <w:rsid w:val="005455A5"/>
    <w:rsid w:val="00561BFA"/>
    <w:rsid w:val="0057412C"/>
    <w:rsid w:val="00574EBA"/>
    <w:rsid w:val="0057548D"/>
    <w:rsid w:val="00581BB4"/>
    <w:rsid w:val="00585C63"/>
    <w:rsid w:val="0059385B"/>
    <w:rsid w:val="005A0855"/>
    <w:rsid w:val="005A2740"/>
    <w:rsid w:val="005B0757"/>
    <w:rsid w:val="005B1A0C"/>
    <w:rsid w:val="005B46F3"/>
    <w:rsid w:val="005B5F7A"/>
    <w:rsid w:val="005B65A9"/>
    <w:rsid w:val="005B6B0C"/>
    <w:rsid w:val="005B76CE"/>
    <w:rsid w:val="005D21D7"/>
    <w:rsid w:val="005D3D8B"/>
    <w:rsid w:val="005D42F1"/>
    <w:rsid w:val="005D44FE"/>
    <w:rsid w:val="005D60D0"/>
    <w:rsid w:val="005E0B2C"/>
    <w:rsid w:val="005E2499"/>
    <w:rsid w:val="005E3710"/>
    <w:rsid w:val="005F04C1"/>
    <w:rsid w:val="0060146F"/>
    <w:rsid w:val="00603383"/>
    <w:rsid w:val="006042F2"/>
    <w:rsid w:val="006078F6"/>
    <w:rsid w:val="006107B6"/>
    <w:rsid w:val="00611752"/>
    <w:rsid w:val="0061542D"/>
    <w:rsid w:val="00621B00"/>
    <w:rsid w:val="00623321"/>
    <w:rsid w:val="0062419C"/>
    <w:rsid w:val="00627566"/>
    <w:rsid w:val="00636777"/>
    <w:rsid w:val="0064230A"/>
    <w:rsid w:val="0064594A"/>
    <w:rsid w:val="00645A19"/>
    <w:rsid w:val="00651393"/>
    <w:rsid w:val="00651C1C"/>
    <w:rsid w:val="00656ECE"/>
    <w:rsid w:val="00657BEE"/>
    <w:rsid w:val="00671CDA"/>
    <w:rsid w:val="00675B11"/>
    <w:rsid w:val="006808DD"/>
    <w:rsid w:val="00684CEA"/>
    <w:rsid w:val="006917B1"/>
    <w:rsid w:val="0069296A"/>
    <w:rsid w:val="006A1B86"/>
    <w:rsid w:val="006A1CBF"/>
    <w:rsid w:val="006A2DEC"/>
    <w:rsid w:val="006A3150"/>
    <w:rsid w:val="006A4B55"/>
    <w:rsid w:val="006A4BC2"/>
    <w:rsid w:val="006B0350"/>
    <w:rsid w:val="006B44AD"/>
    <w:rsid w:val="006B542A"/>
    <w:rsid w:val="006B6339"/>
    <w:rsid w:val="006C50A4"/>
    <w:rsid w:val="006E2470"/>
    <w:rsid w:val="006E478F"/>
    <w:rsid w:val="006F27C5"/>
    <w:rsid w:val="006F2947"/>
    <w:rsid w:val="006F6087"/>
    <w:rsid w:val="006F63C1"/>
    <w:rsid w:val="006F7732"/>
    <w:rsid w:val="00703327"/>
    <w:rsid w:val="00704F6B"/>
    <w:rsid w:val="00707B60"/>
    <w:rsid w:val="00714805"/>
    <w:rsid w:val="0071674D"/>
    <w:rsid w:val="007171EE"/>
    <w:rsid w:val="00722803"/>
    <w:rsid w:val="007254AB"/>
    <w:rsid w:val="00725A8E"/>
    <w:rsid w:val="00731A76"/>
    <w:rsid w:val="007333C9"/>
    <w:rsid w:val="00735017"/>
    <w:rsid w:val="00745674"/>
    <w:rsid w:val="00751CF1"/>
    <w:rsid w:val="007631BE"/>
    <w:rsid w:val="007673D4"/>
    <w:rsid w:val="0077166B"/>
    <w:rsid w:val="00772BBA"/>
    <w:rsid w:val="00772C6D"/>
    <w:rsid w:val="00774458"/>
    <w:rsid w:val="00775AF3"/>
    <w:rsid w:val="007808DE"/>
    <w:rsid w:val="00787A08"/>
    <w:rsid w:val="007927E3"/>
    <w:rsid w:val="007A2221"/>
    <w:rsid w:val="007B4C14"/>
    <w:rsid w:val="007C1D76"/>
    <w:rsid w:val="007D3E95"/>
    <w:rsid w:val="007D4999"/>
    <w:rsid w:val="007E3513"/>
    <w:rsid w:val="007E390C"/>
    <w:rsid w:val="007E62A2"/>
    <w:rsid w:val="007E78E6"/>
    <w:rsid w:val="007E7A9F"/>
    <w:rsid w:val="007F2D69"/>
    <w:rsid w:val="007F34B2"/>
    <w:rsid w:val="007F3957"/>
    <w:rsid w:val="00803C92"/>
    <w:rsid w:val="00811ABB"/>
    <w:rsid w:val="0081275A"/>
    <w:rsid w:val="00815C08"/>
    <w:rsid w:val="00817036"/>
    <w:rsid w:val="00820B5B"/>
    <w:rsid w:val="00821EC2"/>
    <w:rsid w:val="00822ECA"/>
    <w:rsid w:val="00824036"/>
    <w:rsid w:val="00827743"/>
    <w:rsid w:val="008302D3"/>
    <w:rsid w:val="00830CB3"/>
    <w:rsid w:val="008322B2"/>
    <w:rsid w:val="00836C5C"/>
    <w:rsid w:val="00837A39"/>
    <w:rsid w:val="008530A3"/>
    <w:rsid w:val="00854B51"/>
    <w:rsid w:val="00855415"/>
    <w:rsid w:val="00856711"/>
    <w:rsid w:val="00862A07"/>
    <w:rsid w:val="00866429"/>
    <w:rsid w:val="008664F8"/>
    <w:rsid w:val="00871581"/>
    <w:rsid w:val="008726E1"/>
    <w:rsid w:val="00880259"/>
    <w:rsid w:val="00883D1E"/>
    <w:rsid w:val="00894837"/>
    <w:rsid w:val="00895282"/>
    <w:rsid w:val="008A051C"/>
    <w:rsid w:val="008A0A98"/>
    <w:rsid w:val="008A5E88"/>
    <w:rsid w:val="008B6CAA"/>
    <w:rsid w:val="008C094C"/>
    <w:rsid w:val="008C7319"/>
    <w:rsid w:val="008D59A3"/>
    <w:rsid w:val="008E0E40"/>
    <w:rsid w:val="008E31B9"/>
    <w:rsid w:val="008E498C"/>
    <w:rsid w:val="008E4EB3"/>
    <w:rsid w:val="008E6362"/>
    <w:rsid w:val="008E68E7"/>
    <w:rsid w:val="008E6B65"/>
    <w:rsid w:val="008F217F"/>
    <w:rsid w:val="008F2E4C"/>
    <w:rsid w:val="008F3C20"/>
    <w:rsid w:val="008F4874"/>
    <w:rsid w:val="0090107F"/>
    <w:rsid w:val="00902F51"/>
    <w:rsid w:val="0090777C"/>
    <w:rsid w:val="00910A49"/>
    <w:rsid w:val="00914F8A"/>
    <w:rsid w:val="00916B3A"/>
    <w:rsid w:val="00916E34"/>
    <w:rsid w:val="00922347"/>
    <w:rsid w:val="00924F47"/>
    <w:rsid w:val="0093022E"/>
    <w:rsid w:val="009327E0"/>
    <w:rsid w:val="00941A4E"/>
    <w:rsid w:val="009425B2"/>
    <w:rsid w:val="00944842"/>
    <w:rsid w:val="009452B6"/>
    <w:rsid w:val="0094605B"/>
    <w:rsid w:val="00950620"/>
    <w:rsid w:val="00952442"/>
    <w:rsid w:val="0095344C"/>
    <w:rsid w:val="00953488"/>
    <w:rsid w:val="009559A2"/>
    <w:rsid w:val="009560BE"/>
    <w:rsid w:val="00956D16"/>
    <w:rsid w:val="00960D8E"/>
    <w:rsid w:val="00962ABD"/>
    <w:rsid w:val="0096339C"/>
    <w:rsid w:val="00963BC5"/>
    <w:rsid w:val="00971283"/>
    <w:rsid w:val="00973A3D"/>
    <w:rsid w:val="00976595"/>
    <w:rsid w:val="00980663"/>
    <w:rsid w:val="0098356A"/>
    <w:rsid w:val="00984C13"/>
    <w:rsid w:val="00991E97"/>
    <w:rsid w:val="0099227E"/>
    <w:rsid w:val="009A4D6C"/>
    <w:rsid w:val="009A693F"/>
    <w:rsid w:val="009B3418"/>
    <w:rsid w:val="009B61F1"/>
    <w:rsid w:val="009C2BFC"/>
    <w:rsid w:val="009D1168"/>
    <w:rsid w:val="009E4010"/>
    <w:rsid w:val="009E4FB4"/>
    <w:rsid w:val="009E7AAE"/>
    <w:rsid w:val="009F5952"/>
    <w:rsid w:val="00A0223D"/>
    <w:rsid w:val="00A02695"/>
    <w:rsid w:val="00A0368D"/>
    <w:rsid w:val="00A13F2C"/>
    <w:rsid w:val="00A153AE"/>
    <w:rsid w:val="00A15DB7"/>
    <w:rsid w:val="00A15E9F"/>
    <w:rsid w:val="00A16D71"/>
    <w:rsid w:val="00A177C3"/>
    <w:rsid w:val="00A17FF0"/>
    <w:rsid w:val="00A24CF2"/>
    <w:rsid w:val="00A273CD"/>
    <w:rsid w:val="00A31AA5"/>
    <w:rsid w:val="00A33B69"/>
    <w:rsid w:val="00A37399"/>
    <w:rsid w:val="00A42648"/>
    <w:rsid w:val="00A4517E"/>
    <w:rsid w:val="00A457F8"/>
    <w:rsid w:val="00A5129C"/>
    <w:rsid w:val="00A55282"/>
    <w:rsid w:val="00A60C04"/>
    <w:rsid w:val="00A66EA2"/>
    <w:rsid w:val="00A722F8"/>
    <w:rsid w:val="00A745F4"/>
    <w:rsid w:val="00A80C43"/>
    <w:rsid w:val="00A964EA"/>
    <w:rsid w:val="00AA3FDB"/>
    <w:rsid w:val="00AA4EB0"/>
    <w:rsid w:val="00AA58F8"/>
    <w:rsid w:val="00AB0B43"/>
    <w:rsid w:val="00AB33E0"/>
    <w:rsid w:val="00AB398A"/>
    <w:rsid w:val="00AB6A69"/>
    <w:rsid w:val="00AC007C"/>
    <w:rsid w:val="00AC373D"/>
    <w:rsid w:val="00AC5584"/>
    <w:rsid w:val="00AC6C0C"/>
    <w:rsid w:val="00AD1155"/>
    <w:rsid w:val="00AD2550"/>
    <w:rsid w:val="00AD4E55"/>
    <w:rsid w:val="00AD5E66"/>
    <w:rsid w:val="00AE2255"/>
    <w:rsid w:val="00AE7FD8"/>
    <w:rsid w:val="00AF2872"/>
    <w:rsid w:val="00AF32FD"/>
    <w:rsid w:val="00AF3520"/>
    <w:rsid w:val="00AF57C4"/>
    <w:rsid w:val="00AF5E5C"/>
    <w:rsid w:val="00AF6127"/>
    <w:rsid w:val="00B05891"/>
    <w:rsid w:val="00B10029"/>
    <w:rsid w:val="00B142F7"/>
    <w:rsid w:val="00B16CB6"/>
    <w:rsid w:val="00B16E57"/>
    <w:rsid w:val="00B22DE2"/>
    <w:rsid w:val="00B31B70"/>
    <w:rsid w:val="00B33B23"/>
    <w:rsid w:val="00B342CA"/>
    <w:rsid w:val="00B352C9"/>
    <w:rsid w:val="00B40EDB"/>
    <w:rsid w:val="00B422F4"/>
    <w:rsid w:val="00B52D86"/>
    <w:rsid w:val="00B53944"/>
    <w:rsid w:val="00B61BC0"/>
    <w:rsid w:val="00B65EAB"/>
    <w:rsid w:val="00B67789"/>
    <w:rsid w:val="00B73283"/>
    <w:rsid w:val="00B8282A"/>
    <w:rsid w:val="00B83572"/>
    <w:rsid w:val="00B8395C"/>
    <w:rsid w:val="00B8591B"/>
    <w:rsid w:val="00B8682A"/>
    <w:rsid w:val="00B93247"/>
    <w:rsid w:val="00BA384C"/>
    <w:rsid w:val="00BA5909"/>
    <w:rsid w:val="00BB08CC"/>
    <w:rsid w:val="00BB59BB"/>
    <w:rsid w:val="00BC03DE"/>
    <w:rsid w:val="00BC19E7"/>
    <w:rsid w:val="00BC44F6"/>
    <w:rsid w:val="00BD0AB1"/>
    <w:rsid w:val="00BD2BC1"/>
    <w:rsid w:val="00BD677D"/>
    <w:rsid w:val="00BD72DF"/>
    <w:rsid w:val="00BD7A65"/>
    <w:rsid w:val="00BE4959"/>
    <w:rsid w:val="00BE6FB4"/>
    <w:rsid w:val="00BF228E"/>
    <w:rsid w:val="00BF2D6D"/>
    <w:rsid w:val="00BF704A"/>
    <w:rsid w:val="00C02F89"/>
    <w:rsid w:val="00C074BD"/>
    <w:rsid w:val="00C1047E"/>
    <w:rsid w:val="00C126D4"/>
    <w:rsid w:val="00C13C4A"/>
    <w:rsid w:val="00C16350"/>
    <w:rsid w:val="00C20DC0"/>
    <w:rsid w:val="00C21314"/>
    <w:rsid w:val="00C21828"/>
    <w:rsid w:val="00C222F4"/>
    <w:rsid w:val="00C502CF"/>
    <w:rsid w:val="00C51779"/>
    <w:rsid w:val="00C52015"/>
    <w:rsid w:val="00C533B9"/>
    <w:rsid w:val="00C53C4A"/>
    <w:rsid w:val="00C571B7"/>
    <w:rsid w:val="00C57E64"/>
    <w:rsid w:val="00C667E9"/>
    <w:rsid w:val="00C75B32"/>
    <w:rsid w:val="00C80EE5"/>
    <w:rsid w:val="00C8126A"/>
    <w:rsid w:val="00C83B85"/>
    <w:rsid w:val="00C86A6C"/>
    <w:rsid w:val="00C87132"/>
    <w:rsid w:val="00C8726A"/>
    <w:rsid w:val="00C87EF6"/>
    <w:rsid w:val="00C912AF"/>
    <w:rsid w:val="00C920DC"/>
    <w:rsid w:val="00C93FC8"/>
    <w:rsid w:val="00CA0C77"/>
    <w:rsid w:val="00CA2C96"/>
    <w:rsid w:val="00CA3B15"/>
    <w:rsid w:val="00CB5745"/>
    <w:rsid w:val="00CB591F"/>
    <w:rsid w:val="00CB76A7"/>
    <w:rsid w:val="00CC1A26"/>
    <w:rsid w:val="00CD2BC9"/>
    <w:rsid w:val="00CD304A"/>
    <w:rsid w:val="00CD5239"/>
    <w:rsid w:val="00CD5CEF"/>
    <w:rsid w:val="00CE0E9A"/>
    <w:rsid w:val="00CE45DC"/>
    <w:rsid w:val="00CE573B"/>
    <w:rsid w:val="00CF207B"/>
    <w:rsid w:val="00CF4D0D"/>
    <w:rsid w:val="00D1218C"/>
    <w:rsid w:val="00D20CA5"/>
    <w:rsid w:val="00D21FEB"/>
    <w:rsid w:val="00D250A7"/>
    <w:rsid w:val="00D278F5"/>
    <w:rsid w:val="00D31C7D"/>
    <w:rsid w:val="00D33200"/>
    <w:rsid w:val="00D41D90"/>
    <w:rsid w:val="00D42FD4"/>
    <w:rsid w:val="00D44203"/>
    <w:rsid w:val="00D50195"/>
    <w:rsid w:val="00D5428D"/>
    <w:rsid w:val="00D54461"/>
    <w:rsid w:val="00D56C58"/>
    <w:rsid w:val="00D57100"/>
    <w:rsid w:val="00D60FB3"/>
    <w:rsid w:val="00D624C8"/>
    <w:rsid w:val="00D64066"/>
    <w:rsid w:val="00D665FD"/>
    <w:rsid w:val="00D72B41"/>
    <w:rsid w:val="00D7377B"/>
    <w:rsid w:val="00D75BE4"/>
    <w:rsid w:val="00D76CF6"/>
    <w:rsid w:val="00D80EB0"/>
    <w:rsid w:val="00D81BDA"/>
    <w:rsid w:val="00D85271"/>
    <w:rsid w:val="00D857E5"/>
    <w:rsid w:val="00D86F73"/>
    <w:rsid w:val="00D91CCA"/>
    <w:rsid w:val="00DA0E70"/>
    <w:rsid w:val="00DA1C50"/>
    <w:rsid w:val="00DA3A3C"/>
    <w:rsid w:val="00DB2AD1"/>
    <w:rsid w:val="00DB45AE"/>
    <w:rsid w:val="00DB5EA1"/>
    <w:rsid w:val="00DB66C3"/>
    <w:rsid w:val="00DB73FB"/>
    <w:rsid w:val="00DC182E"/>
    <w:rsid w:val="00DC5123"/>
    <w:rsid w:val="00DC7924"/>
    <w:rsid w:val="00DD1FE4"/>
    <w:rsid w:val="00DD254C"/>
    <w:rsid w:val="00DD72EC"/>
    <w:rsid w:val="00DE0071"/>
    <w:rsid w:val="00DE4E15"/>
    <w:rsid w:val="00DF2727"/>
    <w:rsid w:val="00DF3867"/>
    <w:rsid w:val="00DF476F"/>
    <w:rsid w:val="00DF6160"/>
    <w:rsid w:val="00E05139"/>
    <w:rsid w:val="00E0561D"/>
    <w:rsid w:val="00E06E8C"/>
    <w:rsid w:val="00E0754C"/>
    <w:rsid w:val="00E07610"/>
    <w:rsid w:val="00E1144F"/>
    <w:rsid w:val="00E13867"/>
    <w:rsid w:val="00E17FE5"/>
    <w:rsid w:val="00E200E7"/>
    <w:rsid w:val="00E25281"/>
    <w:rsid w:val="00E2715F"/>
    <w:rsid w:val="00E31C84"/>
    <w:rsid w:val="00E33B5B"/>
    <w:rsid w:val="00E345A6"/>
    <w:rsid w:val="00E346D3"/>
    <w:rsid w:val="00E36092"/>
    <w:rsid w:val="00E362C7"/>
    <w:rsid w:val="00E36F34"/>
    <w:rsid w:val="00E37EDD"/>
    <w:rsid w:val="00E40463"/>
    <w:rsid w:val="00E43B3E"/>
    <w:rsid w:val="00E45243"/>
    <w:rsid w:val="00E45620"/>
    <w:rsid w:val="00E4692C"/>
    <w:rsid w:val="00E476E7"/>
    <w:rsid w:val="00E50963"/>
    <w:rsid w:val="00E5729D"/>
    <w:rsid w:val="00E57981"/>
    <w:rsid w:val="00E57F8F"/>
    <w:rsid w:val="00E6187B"/>
    <w:rsid w:val="00E662B0"/>
    <w:rsid w:val="00E66494"/>
    <w:rsid w:val="00E7693B"/>
    <w:rsid w:val="00E87B15"/>
    <w:rsid w:val="00E9010F"/>
    <w:rsid w:val="00E9245C"/>
    <w:rsid w:val="00EA2A56"/>
    <w:rsid w:val="00EA45E5"/>
    <w:rsid w:val="00EA4FED"/>
    <w:rsid w:val="00EB4425"/>
    <w:rsid w:val="00EB52C0"/>
    <w:rsid w:val="00EB6034"/>
    <w:rsid w:val="00EB75A0"/>
    <w:rsid w:val="00EB76C2"/>
    <w:rsid w:val="00EC3900"/>
    <w:rsid w:val="00EC390E"/>
    <w:rsid w:val="00EC6F5B"/>
    <w:rsid w:val="00EE053F"/>
    <w:rsid w:val="00EF4F9F"/>
    <w:rsid w:val="00F00DA0"/>
    <w:rsid w:val="00F042A7"/>
    <w:rsid w:val="00F053D5"/>
    <w:rsid w:val="00F13ED4"/>
    <w:rsid w:val="00F22D30"/>
    <w:rsid w:val="00F25A00"/>
    <w:rsid w:val="00F26B74"/>
    <w:rsid w:val="00F27D8B"/>
    <w:rsid w:val="00F367A1"/>
    <w:rsid w:val="00F36B3C"/>
    <w:rsid w:val="00F37216"/>
    <w:rsid w:val="00F41D27"/>
    <w:rsid w:val="00F43F91"/>
    <w:rsid w:val="00F453CD"/>
    <w:rsid w:val="00F456B1"/>
    <w:rsid w:val="00F50691"/>
    <w:rsid w:val="00F54A38"/>
    <w:rsid w:val="00F5626C"/>
    <w:rsid w:val="00F604FF"/>
    <w:rsid w:val="00F613A4"/>
    <w:rsid w:val="00F651A4"/>
    <w:rsid w:val="00F66A7E"/>
    <w:rsid w:val="00F727EE"/>
    <w:rsid w:val="00F73B5F"/>
    <w:rsid w:val="00F7782B"/>
    <w:rsid w:val="00F80C5B"/>
    <w:rsid w:val="00F83542"/>
    <w:rsid w:val="00F85A48"/>
    <w:rsid w:val="00F90829"/>
    <w:rsid w:val="00F95F07"/>
    <w:rsid w:val="00FA24FD"/>
    <w:rsid w:val="00FA66D2"/>
    <w:rsid w:val="00FB2308"/>
    <w:rsid w:val="00FB3510"/>
    <w:rsid w:val="00FB6F0F"/>
    <w:rsid w:val="00FD0C52"/>
    <w:rsid w:val="00FD22F8"/>
    <w:rsid w:val="00FD32F6"/>
    <w:rsid w:val="00FD5777"/>
    <w:rsid w:val="00FD7A75"/>
    <w:rsid w:val="00FE20D8"/>
    <w:rsid w:val="00FE30CF"/>
    <w:rsid w:val="00FE4227"/>
    <w:rsid w:val="00FE480A"/>
    <w:rsid w:val="00FE5D65"/>
    <w:rsid w:val="00FF066A"/>
    <w:rsid w:val="00FF1303"/>
    <w:rsid w:val="00FF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9C0907C0-6E19-473E-A8DF-45845043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8C"/>
    <w:rPr>
      <w:rFonts w:ascii="Arial" w:hAnsi="Arial"/>
      <w:sz w:val="24"/>
    </w:rPr>
  </w:style>
  <w:style w:type="paragraph" w:styleId="Heading1">
    <w:name w:val="heading 1"/>
    <w:basedOn w:val="Normal"/>
    <w:next w:val="Normal"/>
    <w:link w:val="Heading1Char"/>
    <w:uiPriority w:val="9"/>
    <w:qFormat/>
    <w:rsid w:val="004B418C"/>
    <w:pPr>
      <w:keepNext/>
      <w:outlineLvl w:val="0"/>
    </w:pPr>
    <w:rPr>
      <w:b/>
    </w:rPr>
  </w:style>
  <w:style w:type="paragraph" w:styleId="Heading3">
    <w:name w:val="heading 3"/>
    <w:basedOn w:val="Normal"/>
    <w:next w:val="Normal"/>
    <w:link w:val="Heading3Char"/>
    <w:uiPriority w:val="9"/>
    <w:semiHidden/>
    <w:unhideWhenUsed/>
    <w:qFormat/>
    <w:rsid w:val="00735017"/>
    <w:pPr>
      <w:keepNext/>
      <w:keepLines/>
      <w:spacing w:before="200"/>
      <w:outlineLvl w:val="2"/>
    </w:pPr>
    <w:rPr>
      <w:rFonts w:asciiTheme="majorHAnsi" w:eastAsiaTheme="majorEastAsia" w:hAnsiTheme="majorHAnsi"/>
      <w:b/>
      <w:bCs/>
      <w:color w:val="4F81BD" w:themeColor="accent1"/>
    </w:rPr>
  </w:style>
  <w:style w:type="paragraph" w:styleId="Heading5">
    <w:name w:val="heading 5"/>
    <w:basedOn w:val="Normal"/>
    <w:next w:val="Normal"/>
    <w:link w:val="Heading5Char"/>
    <w:uiPriority w:val="9"/>
    <w:qFormat/>
    <w:rsid w:val="004B418C"/>
    <w:pPr>
      <w:keepNext/>
      <w:outlineLvl w:val="4"/>
    </w:pPr>
    <w:rPr>
      <w:rFonts w:ascii="Univers" w:hAnsi="Univers"/>
      <w:b/>
      <w:u w:val="single"/>
    </w:rPr>
  </w:style>
  <w:style w:type="paragraph" w:styleId="Heading6">
    <w:name w:val="heading 6"/>
    <w:basedOn w:val="Normal"/>
    <w:next w:val="Normal"/>
    <w:link w:val="Heading6Char"/>
    <w:uiPriority w:val="9"/>
    <w:qFormat/>
    <w:rsid w:val="004B418C"/>
    <w:pPr>
      <w:keepNext/>
      <w:outlineLvl w:val="5"/>
    </w:pPr>
    <w:rPr>
      <w:rFonts w:ascii="Univers" w:hAnsi="Univers"/>
      <w:b/>
    </w:rPr>
  </w:style>
  <w:style w:type="paragraph" w:styleId="Heading7">
    <w:name w:val="heading 7"/>
    <w:basedOn w:val="Normal"/>
    <w:next w:val="Normal"/>
    <w:link w:val="Heading7Char"/>
    <w:uiPriority w:val="9"/>
    <w:qFormat/>
    <w:rsid w:val="004B418C"/>
    <w:pPr>
      <w:keepNext/>
      <w:outlineLvl w:val="6"/>
    </w:pPr>
    <w:rPr>
      <w:rFonts w:ascii="Univers" w:hAnsi="Univers"/>
      <w:u w:val="single"/>
    </w:rPr>
  </w:style>
  <w:style w:type="paragraph" w:styleId="Heading8">
    <w:name w:val="heading 8"/>
    <w:basedOn w:val="Normal"/>
    <w:next w:val="Normal"/>
    <w:link w:val="Heading8Char"/>
    <w:uiPriority w:val="9"/>
    <w:semiHidden/>
    <w:unhideWhenUsed/>
    <w:qFormat/>
    <w:rsid w:val="00E362C7"/>
    <w:pPr>
      <w:keepNext/>
      <w:keepLines/>
      <w:spacing w:before="200"/>
      <w:outlineLvl w:val="7"/>
    </w:pPr>
    <w:rPr>
      <w:rFonts w:asciiTheme="majorHAnsi" w:eastAsiaTheme="majorEastAsia" w:hAnsiTheme="majorHAns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735017"/>
    <w:rPr>
      <w:rFonts w:asciiTheme="majorHAnsi" w:eastAsiaTheme="majorEastAsia" w:hAnsiTheme="majorHAnsi" w:cs="Times New Roman"/>
      <w:b/>
      <w:bCs/>
      <w:color w:val="4F81BD" w:themeColor="accent1"/>
      <w:sz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E362C7"/>
    <w:rPr>
      <w:rFonts w:asciiTheme="majorHAnsi" w:eastAsiaTheme="majorEastAsia" w:hAnsiTheme="majorHAnsi" w:cs="Times New Roman"/>
      <w:color w:val="404040" w:themeColor="text1" w:themeTint="BF"/>
    </w:rPr>
  </w:style>
  <w:style w:type="paragraph" w:styleId="Header">
    <w:name w:val="header"/>
    <w:basedOn w:val="Normal"/>
    <w:link w:val="HeaderChar"/>
    <w:uiPriority w:val="99"/>
    <w:rsid w:val="004B418C"/>
  </w:style>
  <w:style w:type="character" w:customStyle="1" w:styleId="HeaderChar">
    <w:name w:val="Header Char"/>
    <w:basedOn w:val="DefaultParagraphFont"/>
    <w:link w:val="Header"/>
    <w:uiPriority w:val="99"/>
    <w:locked/>
    <w:rPr>
      <w:rFonts w:ascii="Arial" w:hAnsi="Arial" w:cs="Times New Roman"/>
      <w:sz w:val="24"/>
    </w:rPr>
  </w:style>
  <w:style w:type="paragraph" w:customStyle="1" w:styleId="arial11">
    <w:name w:val="arial11"/>
    <w:basedOn w:val="Normal"/>
    <w:rsid w:val="004B418C"/>
  </w:style>
  <w:style w:type="paragraph" w:styleId="BodyText">
    <w:name w:val="Body Text"/>
    <w:basedOn w:val="Normal"/>
    <w:link w:val="BodyTextChar"/>
    <w:uiPriority w:val="99"/>
    <w:rsid w:val="004B418C"/>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Footer">
    <w:name w:val="footer"/>
    <w:basedOn w:val="Normal"/>
    <w:link w:val="FooterChar"/>
    <w:uiPriority w:val="99"/>
    <w:rsid w:val="004B418C"/>
    <w:pPr>
      <w:tabs>
        <w:tab w:val="center" w:pos="4153"/>
        <w:tab w:val="right" w:pos="8306"/>
      </w:tabs>
    </w:pPr>
  </w:style>
  <w:style w:type="character" w:customStyle="1" w:styleId="FooterChar">
    <w:name w:val="Footer Char"/>
    <w:basedOn w:val="DefaultParagraphFont"/>
    <w:link w:val="Footer"/>
    <w:uiPriority w:val="99"/>
    <w:locked/>
    <w:rsid w:val="00E362C7"/>
    <w:rPr>
      <w:rFonts w:ascii="Arial" w:hAnsi="Arial" w:cs="Times New Roman"/>
      <w:sz w:val="24"/>
    </w:rPr>
  </w:style>
  <w:style w:type="character" w:styleId="PageNumber">
    <w:name w:val="page number"/>
    <w:basedOn w:val="DefaultParagraphFont"/>
    <w:uiPriority w:val="99"/>
    <w:rsid w:val="004B418C"/>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6A2DEC"/>
    <w:pPr>
      <w:ind w:left="720"/>
      <w:contextualSpacing/>
    </w:pPr>
  </w:style>
  <w:style w:type="character" w:styleId="Strong">
    <w:name w:val="Strong"/>
    <w:basedOn w:val="DefaultParagraphFont"/>
    <w:uiPriority w:val="22"/>
    <w:qFormat/>
    <w:rsid w:val="00827743"/>
    <w:rPr>
      <w:rFonts w:cs="Times New Roman"/>
      <w:b/>
      <w:bCs/>
    </w:rPr>
  </w:style>
  <w:style w:type="paragraph" w:customStyle="1" w:styleId="00-Normal-BB">
    <w:name w:val="00-Normal-BB"/>
    <w:rsid w:val="00827743"/>
    <w:pPr>
      <w:jc w:val="both"/>
    </w:pPr>
    <w:rPr>
      <w:rFonts w:ascii="Arial" w:hAnsi="Arial"/>
      <w:sz w:val="22"/>
      <w:lang w:eastAsia="en-US"/>
    </w:rPr>
  </w:style>
  <w:style w:type="paragraph" w:customStyle="1" w:styleId="01-NormInd1-BB">
    <w:name w:val="01-NormInd1-BB"/>
    <w:basedOn w:val="00-Normal-BB"/>
    <w:rsid w:val="00827743"/>
    <w:pPr>
      <w:ind w:left="720"/>
    </w:pPr>
  </w:style>
  <w:style w:type="character" w:styleId="CommentReference">
    <w:name w:val="annotation reference"/>
    <w:basedOn w:val="DefaultParagraphFont"/>
    <w:uiPriority w:val="99"/>
    <w:semiHidden/>
    <w:unhideWhenUsed/>
    <w:rsid w:val="00FB3510"/>
    <w:rPr>
      <w:rFonts w:cs="Times New Roman"/>
      <w:sz w:val="16"/>
      <w:szCs w:val="16"/>
    </w:rPr>
  </w:style>
  <w:style w:type="paragraph" w:styleId="CommentText">
    <w:name w:val="annotation text"/>
    <w:basedOn w:val="Normal"/>
    <w:link w:val="CommentTextChar"/>
    <w:uiPriority w:val="99"/>
    <w:semiHidden/>
    <w:unhideWhenUsed/>
    <w:rsid w:val="00FB3510"/>
    <w:rPr>
      <w:sz w:val="20"/>
    </w:rPr>
  </w:style>
  <w:style w:type="character" w:customStyle="1" w:styleId="CommentTextChar">
    <w:name w:val="Comment Text Char"/>
    <w:basedOn w:val="DefaultParagraphFont"/>
    <w:link w:val="CommentText"/>
    <w:uiPriority w:val="99"/>
    <w:semiHidden/>
    <w:locked/>
    <w:rsid w:val="00FB3510"/>
    <w:rPr>
      <w:rFonts w:ascii="Arial" w:hAnsi="Arial" w:cs="Times New Roman"/>
    </w:rPr>
  </w:style>
  <w:style w:type="paragraph" w:styleId="CommentSubject">
    <w:name w:val="annotation subject"/>
    <w:basedOn w:val="CommentText"/>
    <w:next w:val="CommentText"/>
    <w:link w:val="CommentSubjectChar"/>
    <w:uiPriority w:val="99"/>
    <w:semiHidden/>
    <w:unhideWhenUsed/>
    <w:rsid w:val="00FB3510"/>
    <w:rPr>
      <w:b/>
      <w:bCs/>
    </w:rPr>
  </w:style>
  <w:style w:type="character" w:customStyle="1" w:styleId="CommentSubjectChar">
    <w:name w:val="Comment Subject Char"/>
    <w:basedOn w:val="CommentTextChar"/>
    <w:link w:val="CommentSubject"/>
    <w:uiPriority w:val="99"/>
    <w:semiHidden/>
    <w:locked/>
    <w:rsid w:val="00FB3510"/>
    <w:rPr>
      <w:rFonts w:ascii="Arial" w:hAnsi="Arial" w:cs="Times New Roman"/>
      <w:b/>
      <w:bCs/>
    </w:rPr>
  </w:style>
  <w:style w:type="table" w:styleId="TableGrid">
    <w:name w:val="Table Grid"/>
    <w:basedOn w:val="TableNormal"/>
    <w:uiPriority w:val="59"/>
    <w:rsid w:val="00F1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15C08"/>
    <w:pPr>
      <w:widowControl w:val="0"/>
      <w:suppressAutoHyphens/>
    </w:pPr>
    <w:rPr>
      <w:rFonts w:ascii="Times New Roman" w:hAnsi="Times New Roman"/>
      <w:kern w:val="1"/>
      <w:sz w:val="20"/>
    </w:rPr>
  </w:style>
  <w:style w:type="character" w:customStyle="1" w:styleId="FootnoteTextChar">
    <w:name w:val="Footnote Text Char"/>
    <w:basedOn w:val="DefaultParagraphFont"/>
    <w:link w:val="FootnoteText"/>
    <w:uiPriority w:val="99"/>
    <w:semiHidden/>
    <w:locked/>
    <w:rsid w:val="00815C08"/>
    <w:rPr>
      <w:rFonts w:eastAsia="Times New Roman" w:cs="Times New Roman"/>
      <w:kern w:val="1"/>
    </w:rPr>
  </w:style>
  <w:style w:type="character" w:styleId="FootnoteReference">
    <w:name w:val="footnote reference"/>
    <w:basedOn w:val="DefaultParagraphFont"/>
    <w:uiPriority w:val="99"/>
    <w:semiHidden/>
    <w:rsid w:val="00815C08"/>
    <w:rPr>
      <w:rFonts w:cs="Times New Roman"/>
      <w:vertAlign w:val="superscript"/>
    </w:rPr>
  </w:style>
  <w:style w:type="character" w:styleId="Hyperlink">
    <w:name w:val="Hyperlink"/>
    <w:basedOn w:val="DefaultParagraphFont"/>
    <w:uiPriority w:val="99"/>
    <w:rsid w:val="00815C08"/>
    <w:rPr>
      <w:rFonts w:cs="Times New Roman"/>
      <w:color w:val="0000FF"/>
      <w:u w:val="single"/>
    </w:rPr>
  </w:style>
  <w:style w:type="paragraph" w:styleId="Revision">
    <w:name w:val="Revision"/>
    <w:hidden/>
    <w:uiPriority w:val="99"/>
    <w:semiHidden/>
    <w:rsid w:val="0045359E"/>
    <w:rPr>
      <w:rFonts w:ascii="Arial" w:hAnsi="Arial"/>
      <w:sz w:val="24"/>
    </w:rPr>
  </w:style>
  <w:style w:type="table" w:customStyle="1" w:styleId="TableGrid1">
    <w:name w:val="Table Grid1"/>
    <w:basedOn w:val="TableNormal"/>
    <w:next w:val="TableGrid"/>
    <w:uiPriority w:val="59"/>
    <w:rsid w:val="002B6620"/>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13C4A"/>
    <w:pPr>
      <w:spacing w:after="200" w:line="276" w:lineRule="auto"/>
      <w:outlineLvl w:val="0"/>
    </w:pPr>
    <w:rPr>
      <w:rFonts w:ascii="Arial" w:eastAsia="Arial Unicode MS" w:hAnsi="Arial"/>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262">
      <w:bodyDiv w:val="1"/>
      <w:marLeft w:val="0"/>
      <w:marRight w:val="0"/>
      <w:marTop w:val="0"/>
      <w:marBottom w:val="0"/>
      <w:divBdr>
        <w:top w:val="none" w:sz="0" w:space="0" w:color="auto"/>
        <w:left w:val="none" w:sz="0" w:space="0" w:color="auto"/>
        <w:bottom w:val="none" w:sz="0" w:space="0" w:color="auto"/>
        <w:right w:val="none" w:sz="0" w:space="0" w:color="auto"/>
      </w:divBdr>
    </w:div>
    <w:div w:id="500118770">
      <w:bodyDiv w:val="1"/>
      <w:marLeft w:val="0"/>
      <w:marRight w:val="0"/>
      <w:marTop w:val="0"/>
      <w:marBottom w:val="0"/>
      <w:divBdr>
        <w:top w:val="none" w:sz="0" w:space="0" w:color="auto"/>
        <w:left w:val="none" w:sz="0" w:space="0" w:color="auto"/>
        <w:bottom w:val="none" w:sz="0" w:space="0" w:color="auto"/>
        <w:right w:val="none" w:sz="0" w:space="0" w:color="auto"/>
      </w:divBdr>
    </w:div>
    <w:div w:id="524095450">
      <w:bodyDiv w:val="1"/>
      <w:marLeft w:val="0"/>
      <w:marRight w:val="0"/>
      <w:marTop w:val="0"/>
      <w:marBottom w:val="0"/>
      <w:divBdr>
        <w:top w:val="none" w:sz="0" w:space="0" w:color="auto"/>
        <w:left w:val="none" w:sz="0" w:space="0" w:color="auto"/>
        <w:bottom w:val="none" w:sz="0" w:space="0" w:color="auto"/>
        <w:right w:val="none" w:sz="0" w:space="0" w:color="auto"/>
      </w:divBdr>
    </w:div>
    <w:div w:id="527108359">
      <w:bodyDiv w:val="1"/>
      <w:marLeft w:val="0"/>
      <w:marRight w:val="0"/>
      <w:marTop w:val="0"/>
      <w:marBottom w:val="0"/>
      <w:divBdr>
        <w:top w:val="none" w:sz="0" w:space="0" w:color="auto"/>
        <w:left w:val="none" w:sz="0" w:space="0" w:color="auto"/>
        <w:bottom w:val="none" w:sz="0" w:space="0" w:color="auto"/>
        <w:right w:val="none" w:sz="0" w:space="0" w:color="auto"/>
      </w:divBdr>
    </w:div>
    <w:div w:id="677775057">
      <w:marLeft w:val="0"/>
      <w:marRight w:val="0"/>
      <w:marTop w:val="0"/>
      <w:marBottom w:val="0"/>
      <w:divBdr>
        <w:top w:val="none" w:sz="0" w:space="0" w:color="auto"/>
        <w:left w:val="none" w:sz="0" w:space="0" w:color="auto"/>
        <w:bottom w:val="none" w:sz="0" w:space="0" w:color="auto"/>
        <w:right w:val="none" w:sz="0" w:space="0" w:color="auto"/>
      </w:divBdr>
    </w:div>
    <w:div w:id="677775058">
      <w:marLeft w:val="0"/>
      <w:marRight w:val="0"/>
      <w:marTop w:val="0"/>
      <w:marBottom w:val="0"/>
      <w:divBdr>
        <w:top w:val="none" w:sz="0" w:space="0" w:color="auto"/>
        <w:left w:val="none" w:sz="0" w:space="0" w:color="auto"/>
        <w:bottom w:val="none" w:sz="0" w:space="0" w:color="auto"/>
        <w:right w:val="none" w:sz="0" w:space="0" w:color="auto"/>
      </w:divBdr>
    </w:div>
    <w:div w:id="677775059">
      <w:marLeft w:val="0"/>
      <w:marRight w:val="0"/>
      <w:marTop w:val="0"/>
      <w:marBottom w:val="0"/>
      <w:divBdr>
        <w:top w:val="none" w:sz="0" w:space="0" w:color="auto"/>
        <w:left w:val="none" w:sz="0" w:space="0" w:color="auto"/>
        <w:bottom w:val="none" w:sz="0" w:space="0" w:color="auto"/>
        <w:right w:val="none" w:sz="0" w:space="0" w:color="auto"/>
      </w:divBdr>
    </w:div>
    <w:div w:id="677775060">
      <w:marLeft w:val="0"/>
      <w:marRight w:val="0"/>
      <w:marTop w:val="0"/>
      <w:marBottom w:val="0"/>
      <w:divBdr>
        <w:top w:val="none" w:sz="0" w:space="0" w:color="auto"/>
        <w:left w:val="none" w:sz="0" w:space="0" w:color="auto"/>
        <w:bottom w:val="none" w:sz="0" w:space="0" w:color="auto"/>
        <w:right w:val="none" w:sz="0" w:space="0" w:color="auto"/>
      </w:divBdr>
    </w:div>
    <w:div w:id="677775061">
      <w:marLeft w:val="0"/>
      <w:marRight w:val="0"/>
      <w:marTop w:val="0"/>
      <w:marBottom w:val="0"/>
      <w:divBdr>
        <w:top w:val="none" w:sz="0" w:space="0" w:color="auto"/>
        <w:left w:val="none" w:sz="0" w:space="0" w:color="auto"/>
        <w:bottom w:val="none" w:sz="0" w:space="0" w:color="auto"/>
        <w:right w:val="none" w:sz="0" w:space="0" w:color="auto"/>
      </w:divBdr>
    </w:div>
    <w:div w:id="677775062">
      <w:marLeft w:val="0"/>
      <w:marRight w:val="0"/>
      <w:marTop w:val="0"/>
      <w:marBottom w:val="0"/>
      <w:divBdr>
        <w:top w:val="none" w:sz="0" w:space="0" w:color="auto"/>
        <w:left w:val="none" w:sz="0" w:space="0" w:color="auto"/>
        <w:bottom w:val="none" w:sz="0" w:space="0" w:color="auto"/>
        <w:right w:val="none" w:sz="0" w:space="0" w:color="auto"/>
      </w:divBdr>
    </w:div>
    <w:div w:id="677775063">
      <w:marLeft w:val="0"/>
      <w:marRight w:val="0"/>
      <w:marTop w:val="0"/>
      <w:marBottom w:val="0"/>
      <w:divBdr>
        <w:top w:val="none" w:sz="0" w:space="0" w:color="auto"/>
        <w:left w:val="none" w:sz="0" w:space="0" w:color="auto"/>
        <w:bottom w:val="none" w:sz="0" w:space="0" w:color="auto"/>
        <w:right w:val="none" w:sz="0" w:space="0" w:color="auto"/>
      </w:divBdr>
    </w:div>
    <w:div w:id="677775064">
      <w:marLeft w:val="0"/>
      <w:marRight w:val="0"/>
      <w:marTop w:val="0"/>
      <w:marBottom w:val="0"/>
      <w:divBdr>
        <w:top w:val="none" w:sz="0" w:space="0" w:color="auto"/>
        <w:left w:val="none" w:sz="0" w:space="0" w:color="auto"/>
        <w:bottom w:val="none" w:sz="0" w:space="0" w:color="auto"/>
        <w:right w:val="none" w:sz="0" w:space="0" w:color="auto"/>
      </w:divBdr>
    </w:div>
    <w:div w:id="677775065">
      <w:marLeft w:val="0"/>
      <w:marRight w:val="0"/>
      <w:marTop w:val="0"/>
      <w:marBottom w:val="0"/>
      <w:divBdr>
        <w:top w:val="none" w:sz="0" w:space="0" w:color="auto"/>
        <w:left w:val="none" w:sz="0" w:space="0" w:color="auto"/>
        <w:bottom w:val="none" w:sz="0" w:space="0" w:color="auto"/>
        <w:right w:val="none" w:sz="0" w:space="0" w:color="auto"/>
      </w:divBdr>
    </w:div>
    <w:div w:id="1621256667">
      <w:bodyDiv w:val="1"/>
      <w:marLeft w:val="0"/>
      <w:marRight w:val="0"/>
      <w:marTop w:val="0"/>
      <w:marBottom w:val="0"/>
      <w:divBdr>
        <w:top w:val="none" w:sz="0" w:space="0" w:color="auto"/>
        <w:left w:val="none" w:sz="0" w:space="0" w:color="auto"/>
        <w:bottom w:val="none" w:sz="0" w:space="0" w:color="auto"/>
        <w:right w:val="none" w:sz="0" w:space="0" w:color="auto"/>
      </w:divBdr>
    </w:div>
    <w:div w:id="1902910253">
      <w:bodyDiv w:val="1"/>
      <w:marLeft w:val="0"/>
      <w:marRight w:val="0"/>
      <w:marTop w:val="0"/>
      <w:marBottom w:val="0"/>
      <w:divBdr>
        <w:top w:val="none" w:sz="0" w:space="0" w:color="auto"/>
        <w:left w:val="none" w:sz="0" w:space="0" w:color="auto"/>
        <w:bottom w:val="none" w:sz="0" w:space="0" w:color="auto"/>
        <w:right w:val="none" w:sz="0" w:space="0" w:color="auto"/>
      </w:divBdr>
    </w:div>
    <w:div w:id="20044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0A1CF.67A8C3C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ollis001\AppData\Local\Microsoft\Windows\Temporary%20Internet%20Files\Content.Outlook\Q06AP0AM\Debt%20Monitoring%2014-15%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crotty001\AppData\Local\Microsoft\Windows\Temporary%20Internet%20Files\Content.Outlook\8Y6XTH18\Benchmarking%20credit%20scores%202015%2003%2031%20-%20Lancashir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DEBT BY MATURITY (£m)</a:t>
            </a:r>
          </a:p>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as at 31 March 2015</a:t>
            </a:r>
          </a:p>
        </c:rich>
      </c:tx>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'Debt by Maturity'!$F$7:$F$13</c:f>
              <c:strCache>
                <c:ptCount val="7"/>
                <c:pt idx="0">
                  <c:v>&lt; 12 mths</c:v>
                </c:pt>
                <c:pt idx="1">
                  <c:v>12 mths - 2yrs</c:v>
                </c:pt>
                <c:pt idx="2">
                  <c:v>2yrs - 5yrs</c:v>
                </c:pt>
                <c:pt idx="3">
                  <c:v>5yrs - 10yrs</c:v>
                </c:pt>
                <c:pt idx="4">
                  <c:v>10yrs - 15yrs</c:v>
                </c:pt>
                <c:pt idx="5">
                  <c:v>15yrs &gt;</c:v>
                </c:pt>
                <c:pt idx="6">
                  <c:v>LOBO</c:v>
                </c:pt>
              </c:strCache>
            </c:strRef>
          </c:cat>
          <c:val>
            <c:numRef>
              <c:f>'Debt by Maturity'!$D$7:$D$13</c:f>
              <c:numCache>
                <c:formatCode>_-* #,##0_-;\-* #,##0_-;_-* "-"??_-;_-@_-</c:formatCode>
                <c:ptCount val="7"/>
                <c:pt idx="0">
                  <c:v>567961647.10000002</c:v>
                </c:pt>
                <c:pt idx="1">
                  <c:v>44500000</c:v>
                </c:pt>
                <c:pt idx="2">
                  <c:v>32000000</c:v>
                </c:pt>
                <c:pt idx="3">
                  <c:v>174250000</c:v>
                </c:pt>
                <c:pt idx="4">
                  <c:v>49600000</c:v>
                </c:pt>
                <c:pt idx="5">
                  <c:v>115000000</c:v>
                </c:pt>
                <c:pt idx="6">
                  <c:v>52229597.546155468</c:v>
                </c:pt>
              </c:numCache>
            </c:numRef>
          </c:val>
        </c:ser>
        <c:dLbls>
          <c:showLegendKey val="0"/>
          <c:showVal val="0"/>
          <c:showCatName val="0"/>
          <c:showSerName val="0"/>
          <c:showPercent val="0"/>
          <c:showBubbleSize val="0"/>
        </c:dLbls>
        <c:gapWidth val="150"/>
        <c:axId val="143513760"/>
        <c:axId val="145861824"/>
      </c:barChart>
      <c:catAx>
        <c:axId val="143513760"/>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45861824"/>
        <c:crosses val="autoZero"/>
        <c:auto val="1"/>
        <c:lblAlgn val="ctr"/>
        <c:lblOffset val="100"/>
        <c:noMultiLvlLbl val="0"/>
      </c:catAx>
      <c:valAx>
        <c:axId val="145861824"/>
        <c:scaling>
          <c:orientation val="minMax"/>
        </c:scaling>
        <c:delete val="0"/>
        <c:axPos val="l"/>
        <c:majorGridlines/>
        <c:numFmt formatCode="_-* #,##0_-;\-* #,##0_-;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3513760"/>
        <c:crosses val="autoZero"/>
        <c:crossBetween val="between"/>
        <c:dispUnits>
          <c:builtInUnit val="millions"/>
          <c:dispUnitsLbl>
            <c:layout/>
            <c:txPr>
              <a:bodyPr rot="-5400000" vert="horz"/>
              <a:lstStyle/>
              <a:p>
                <a:pPr algn="ctr">
                  <a:defRPr sz="1000" b="1" i="0" u="none" strike="noStrike" baseline="0">
                    <a:solidFill>
                      <a:srgbClr val="000000"/>
                    </a:solidFill>
                    <a:latin typeface="Calibri"/>
                    <a:ea typeface="Calibri"/>
                    <a:cs typeface="Calibri"/>
                  </a:defRPr>
                </a:pPr>
                <a:endParaRPr lang="en-US"/>
              </a:p>
            </c:txPr>
          </c:dispUnitsLbl>
        </c:dispUnits>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DEBT PORTFOLIO (£m)</a:t>
            </a:r>
          </a:p>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as at 31 March 2015</a:t>
            </a:r>
          </a:p>
        </c:rich>
      </c:tx>
      <c:layout/>
      <c:overlay val="0"/>
    </c:title>
    <c:autoTitleDeleted val="0"/>
    <c:plotArea>
      <c:layout/>
      <c:pieChart>
        <c:varyColors val="1"/>
        <c:ser>
          <c:idx val="0"/>
          <c:order val="0"/>
          <c:explosion val="1"/>
          <c:dLbls>
            <c:dLbl>
              <c:idx val="0"/>
              <c:layout>
                <c:manualLayout>
                  <c:x val="-2.3878154458053587E-2"/>
                  <c:y val="-1.172761178496705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2.1714053951508622E-2"/>
                  <c:y val="-9.1366643590933549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3530877873165328"/>
                      <c:h val="0.17391815155668691"/>
                    </c:manualLayout>
                  </c15:layout>
                </c:ext>
              </c:extLst>
            </c:dLbl>
            <c:dLbl>
              <c:idx val="3"/>
              <c:layout>
                <c:manualLayout>
                  <c:x val="2.4453060094156744E-2"/>
                  <c:y val="1.5056992949309964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9.0172318751967934E-2"/>
                  <c:y val="1.053333222342565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2.3630429416602924E-2"/>
                  <c:y val="-8.2737451645792694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'Debt by Maturity'!$A$18:$A$24</c:f>
              <c:strCache>
                <c:ptCount val="7"/>
                <c:pt idx="0">
                  <c:v>PWLB fixed</c:v>
                </c:pt>
                <c:pt idx="1">
                  <c:v>PWLB variable</c:v>
                </c:pt>
                <c:pt idx="2">
                  <c:v>LOBO</c:v>
                </c:pt>
                <c:pt idx="3">
                  <c:v>ST &amp; LT Market</c:v>
                </c:pt>
                <c:pt idx="4">
                  <c:v>Bonds</c:v>
                </c:pt>
                <c:pt idx="5">
                  <c:v>SIS</c:v>
                </c:pt>
                <c:pt idx="6">
                  <c:v>PCC &amp; CFA</c:v>
                </c:pt>
              </c:strCache>
            </c:strRef>
          </c:cat>
          <c:val>
            <c:numRef>
              <c:f>'Debt by Maturity'!$B$18:$B$24</c:f>
              <c:numCache>
                <c:formatCode>0.00</c:formatCode>
                <c:ptCount val="7"/>
                <c:pt idx="0">
                  <c:v>213.10000004000003</c:v>
                </c:pt>
                <c:pt idx="1">
                  <c:v>125.75</c:v>
                </c:pt>
                <c:pt idx="2">
                  <c:v>52.229597546155468</c:v>
                </c:pt>
                <c:pt idx="3">
                  <c:v>573</c:v>
                </c:pt>
                <c:pt idx="4">
                  <c:v>0</c:v>
                </c:pt>
                <c:pt idx="5">
                  <c:v>9.9990000000000006</c:v>
                </c:pt>
                <c:pt idx="6">
                  <c:v>61.462647100000027</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4"/>
        <c:delete val="1"/>
      </c:legendEntry>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chemeClr val="accent1"/>
                </a:solidFill>
                <a:latin typeface="Trebuchet MS"/>
                <a:ea typeface="Trebuchet MS"/>
                <a:cs typeface="Trebuchet MS"/>
              </a:defRPr>
            </a:pPr>
            <a:r>
              <a:rPr lang="en-US">
                <a:solidFill>
                  <a:schemeClr val="accent1"/>
                </a:solidFill>
              </a:rPr>
              <a:t>Average Rate vs Credit Risk (value-weighted) - Client Type</a:t>
            </a:r>
          </a:p>
        </c:rich>
      </c:tx>
      <c:layout/>
      <c:overlay val="0"/>
    </c:title>
    <c:autoTitleDeleted val="0"/>
    <c:plotArea>
      <c:layout>
        <c:manualLayout>
          <c:layoutTarget val="inner"/>
          <c:xMode val="edge"/>
          <c:yMode val="edge"/>
          <c:x val="8.3333548470375648E-2"/>
          <c:y val="8.6000733424805409E-2"/>
          <c:w val="0.90290381222839033"/>
          <c:h val="0.72059761760549335"/>
        </c:manualLayout>
      </c:layout>
      <c:scatterChart>
        <c:scatterStyle val="lineMarker"/>
        <c:varyColors val="0"/>
        <c:ser>
          <c:idx val="1"/>
          <c:order val="0"/>
          <c:tx>
            <c:v>Average</c:v>
          </c:tx>
          <c:spPr>
            <a:ln w="28575">
              <a:noFill/>
            </a:ln>
          </c:spPr>
          <c:marker>
            <c:symbol val="none"/>
          </c:marker>
          <c:errBars>
            <c:errDir val="x"/>
            <c:errBarType val="both"/>
            <c:errValType val="fixedVal"/>
            <c:noEndCap val="0"/>
            <c:val val="1200"/>
            <c:spPr>
              <a:ln w="3175">
                <a:solidFill>
                  <a:srgbClr val="000000"/>
                </a:solidFill>
                <a:prstDash val="solid"/>
              </a:ln>
            </c:spPr>
          </c:errBars>
          <c:errBars>
            <c:errDir val="y"/>
            <c:errBarType val="both"/>
            <c:errValType val="fixedVal"/>
            <c:noEndCap val="0"/>
            <c:val val="12000"/>
            <c:spPr>
              <a:ln w="3175">
                <a:solidFill>
                  <a:srgbClr val="000000"/>
                </a:solidFill>
                <a:prstDash val="solid"/>
              </a:ln>
            </c:spPr>
          </c:errBars>
          <c:xVal>
            <c:numRef>
              <c:f>Benchmarking!$O$144</c:f>
              <c:numCache>
                <c:formatCode>0.00</c:formatCode>
                <c:ptCount val="1"/>
                <c:pt idx="0">
                  <c:v>3.9745361947165514</c:v>
                </c:pt>
              </c:numCache>
            </c:numRef>
          </c:xVal>
          <c:yVal>
            <c:numRef>
              <c:f>Benchmarking!$J$144</c:f>
              <c:numCache>
                <c:formatCode>0.00%</c:formatCode>
                <c:ptCount val="1"/>
                <c:pt idx="0">
                  <c:v>8.2400771259624438E-3</c:v>
                </c:pt>
              </c:numCache>
            </c:numRef>
          </c:yVal>
          <c:smooth val="0"/>
        </c:ser>
        <c:ser>
          <c:idx val="0"/>
          <c:order val="1"/>
          <c:tx>
            <c:v>English County</c:v>
          </c:tx>
          <c:spPr>
            <a:ln w="28575">
              <a:noFill/>
            </a:ln>
          </c:spPr>
          <c:marker>
            <c:symbol val="diamond"/>
            <c:size val="5"/>
            <c:spPr>
              <a:solidFill>
                <a:schemeClr val="accent2">
                  <a:lumMod val="50000"/>
                </a:schemeClr>
              </a:solidFill>
            </c:spPr>
          </c:marker>
          <c:xVal>
            <c:numRef>
              <c:f>Benchmarking!$O$15:$O$27</c:f>
              <c:numCache>
                <c:formatCode>0.00</c:formatCode>
                <c:ptCount val="13"/>
                <c:pt idx="0">
                  <c:v>4.3574865296195027</c:v>
                </c:pt>
                <c:pt idx="1">
                  <c:v>3.7779006636594152</c:v>
                </c:pt>
                <c:pt idx="2">
                  <c:v>4.5799828211916118</c:v>
                </c:pt>
                <c:pt idx="3">
                  <c:v>4.6830125593531209</c:v>
                </c:pt>
                <c:pt idx="4">
                  <c:v>3.9395442167379247</c:v>
                </c:pt>
                <c:pt idx="5">
                  <c:v>4.3764540197101836</c:v>
                </c:pt>
                <c:pt idx="6">
                  <c:v>3.8577262921993891</c:v>
                </c:pt>
                <c:pt idx="7">
                  <c:v>2.6766486150556394</c:v>
                </c:pt>
                <c:pt idx="8">
                  <c:v>3.5642470125328414</c:v>
                </c:pt>
                <c:pt idx="9">
                  <c:v>4.6468670085644694</c:v>
                </c:pt>
                <c:pt idx="10">
                  <c:v>3.8574988716829197</c:v>
                </c:pt>
                <c:pt idx="11">
                  <c:v>4.4431670344812346</c:v>
                </c:pt>
                <c:pt idx="12">
                  <c:v>2.9084348865269227</c:v>
                </c:pt>
              </c:numCache>
            </c:numRef>
          </c:xVal>
          <c:yVal>
            <c:numRef>
              <c:f>Benchmarking!$J$15:$J$27</c:f>
              <c:numCache>
                <c:formatCode>0.00%</c:formatCode>
                <c:ptCount val="13"/>
                <c:pt idx="0">
                  <c:v>9.1940391162138712E-3</c:v>
                </c:pt>
                <c:pt idx="1">
                  <c:v>7.0580528166094862E-3</c:v>
                </c:pt>
                <c:pt idx="2">
                  <c:v>6.2073521755299371E-3</c:v>
                </c:pt>
                <c:pt idx="3">
                  <c:v>9.6113265861565659E-3</c:v>
                </c:pt>
                <c:pt idx="4">
                  <c:v>1.28516323492101E-2</c:v>
                </c:pt>
                <c:pt idx="5">
                  <c:v>6.3806118456572651E-3</c:v>
                </c:pt>
                <c:pt idx="6">
                  <c:v>6.8531455585903022E-3</c:v>
                </c:pt>
                <c:pt idx="7">
                  <c:v>1.67487262838465E-2</c:v>
                </c:pt>
                <c:pt idx="8">
                  <c:v>7.7915997776731027E-3</c:v>
                </c:pt>
                <c:pt idx="9">
                  <c:v>7.9501069575458258E-3</c:v>
                </c:pt>
                <c:pt idx="10">
                  <c:v>4.6504911770056398E-3</c:v>
                </c:pt>
                <c:pt idx="11">
                  <c:v>7.4486435316336161E-3</c:v>
                </c:pt>
                <c:pt idx="12">
                  <c:v>4.3752744618395303E-3</c:v>
                </c:pt>
              </c:numCache>
            </c:numRef>
          </c:yVal>
          <c:smooth val="0"/>
        </c:ser>
        <c:ser>
          <c:idx val="14"/>
          <c:order val="2"/>
          <c:tx>
            <c:strRef>
              <c:f>Benchmarking!$B$14</c:f>
              <c:strCache>
                <c:ptCount val="1"/>
                <c:pt idx="0">
                  <c:v>Lancashire CC - 31/03/2015</c:v>
                </c:pt>
              </c:strCache>
            </c:strRef>
          </c:tx>
          <c:spPr>
            <a:ln w="28575">
              <a:noFill/>
            </a:ln>
          </c:spPr>
          <c:marker>
            <c:symbol val="circle"/>
            <c:size val="8"/>
            <c:spPr>
              <a:solidFill>
                <a:srgbClr val="00B0F0"/>
              </a:solidFill>
              <a:ln>
                <a:solidFill>
                  <a:sysClr val="windowText" lastClr="000000"/>
                </a:solidFill>
              </a:ln>
            </c:spPr>
          </c:marker>
          <c:xVal>
            <c:numRef>
              <c:f>Benchmarking!$O$14</c:f>
              <c:numCache>
                <c:formatCode>0.00</c:formatCode>
                <c:ptCount val="1"/>
                <c:pt idx="0">
                  <c:v>2.6766486150556394</c:v>
                </c:pt>
              </c:numCache>
            </c:numRef>
          </c:xVal>
          <c:yVal>
            <c:numRef>
              <c:f>Benchmarking!$J$14</c:f>
              <c:numCache>
                <c:formatCode>0.00%</c:formatCode>
                <c:ptCount val="1"/>
                <c:pt idx="0">
                  <c:v>1.67487262838465E-2</c:v>
                </c:pt>
              </c:numCache>
            </c:numRef>
          </c:yVal>
          <c:smooth val="0"/>
        </c:ser>
        <c:dLbls>
          <c:showLegendKey val="0"/>
          <c:showVal val="0"/>
          <c:showCatName val="0"/>
          <c:showSerName val="0"/>
          <c:showPercent val="0"/>
          <c:showBubbleSize val="0"/>
        </c:dLbls>
        <c:axId val="145863392"/>
        <c:axId val="145863784"/>
      </c:scatterChart>
      <c:valAx>
        <c:axId val="145863392"/>
        <c:scaling>
          <c:orientation val="minMax"/>
          <c:max val="8"/>
          <c:min val="1"/>
        </c:scaling>
        <c:delete val="0"/>
        <c:axPos val="b"/>
        <c:title>
          <c:tx>
            <c:rich>
              <a:bodyPr/>
              <a:lstStyle/>
              <a:p>
                <a:pPr>
                  <a:defRPr sz="1200" b="1" i="0" u="none" strike="noStrike" baseline="0">
                    <a:solidFill>
                      <a:schemeClr val="accent1"/>
                    </a:solidFill>
                    <a:latin typeface="Trebuchet MS"/>
                    <a:ea typeface="Trebuchet MS"/>
                    <a:cs typeface="Trebuchet MS"/>
                  </a:defRPr>
                </a:pPr>
                <a:r>
                  <a:rPr lang="en-US" sz="1200">
                    <a:solidFill>
                      <a:schemeClr val="accent1"/>
                    </a:solidFill>
                  </a:rPr>
                  <a:t>Average Credit Risk Score - Valued Weighted Average</a:t>
                </a:r>
              </a:p>
            </c:rich>
          </c:tx>
          <c:layout>
            <c:manualLayout>
              <c:xMode val="edge"/>
              <c:yMode val="edge"/>
              <c:x val="0.35149024833434284"/>
              <c:y val="0.86192787318907971"/>
            </c:manualLayout>
          </c:layout>
          <c:overlay val="0"/>
        </c:title>
        <c:numFmt formatCode="General"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45863784"/>
        <c:crosses val="autoZero"/>
        <c:crossBetween val="midCat"/>
        <c:majorUnit val="1"/>
      </c:valAx>
      <c:valAx>
        <c:axId val="145863784"/>
        <c:scaling>
          <c:orientation val="minMax"/>
          <c:max val="2.5000000000000005E-2"/>
          <c:min val="0"/>
        </c:scaling>
        <c:delete val="0"/>
        <c:axPos val="l"/>
        <c:title>
          <c:tx>
            <c:rich>
              <a:bodyPr/>
              <a:lstStyle/>
              <a:p>
                <a:pPr>
                  <a:defRPr sz="1200" b="1" i="0" u="none" strike="noStrike" baseline="0">
                    <a:solidFill>
                      <a:schemeClr val="accent1"/>
                    </a:solidFill>
                    <a:latin typeface="Trebuchet MS"/>
                    <a:ea typeface="Trebuchet MS"/>
                    <a:cs typeface="Trebuchet MS"/>
                  </a:defRPr>
                </a:pPr>
                <a:r>
                  <a:rPr lang="en-US" sz="1200">
                    <a:solidFill>
                      <a:schemeClr val="accent1"/>
                    </a:solidFill>
                  </a:rPr>
                  <a:t>Average Rate of Investments</a:t>
                </a:r>
              </a:p>
            </c:rich>
          </c:tx>
          <c:layout/>
          <c:overlay val="0"/>
        </c:title>
        <c:numFmt formatCode="0.0%" sourceLinked="0"/>
        <c:majorTickMark val="out"/>
        <c:minorTickMark val="none"/>
        <c:tickLblPos val="nextTo"/>
        <c:spPr>
          <a:noFill/>
        </c:spPr>
        <c:txPr>
          <a:bodyPr rot="0" vert="horz"/>
          <a:lstStyle/>
          <a:p>
            <a:pPr>
              <a:defRPr sz="1200" b="0" i="0" u="none" strike="noStrike" baseline="0">
                <a:solidFill>
                  <a:srgbClr val="000000"/>
                </a:solidFill>
                <a:latin typeface="Calibri"/>
                <a:ea typeface="Calibri"/>
                <a:cs typeface="Calibri"/>
              </a:defRPr>
            </a:pPr>
            <a:endParaRPr lang="en-US"/>
          </a:p>
        </c:txPr>
        <c:crossAx val="145863392"/>
        <c:crosses val="autoZero"/>
        <c:crossBetween val="midCat"/>
      </c:valAx>
      <c:spPr>
        <a:solidFill>
          <a:sysClr val="window" lastClr="FFFFFF">
            <a:lumMod val="85000"/>
          </a:sysClr>
        </a:solidFill>
        <a:ln>
          <a:solidFill>
            <a:schemeClr val="tx1"/>
          </a:solidFill>
        </a:ln>
      </c:spPr>
    </c:plotArea>
    <c:legend>
      <c:legendPos val="r"/>
      <c:legendEntry>
        <c:idx val="0"/>
        <c:delete val="1"/>
      </c:legendEntry>
      <c:layout>
        <c:manualLayout>
          <c:xMode val="edge"/>
          <c:yMode val="edge"/>
          <c:x val="1.0256410256410263E-2"/>
          <c:y val="0.90971128608923879"/>
          <c:w val="0.98078890907867289"/>
          <c:h val="9.0288713910761154E-2"/>
        </c:manualLayout>
      </c:layout>
      <c:overlay val="0"/>
      <c:spPr>
        <a:ln>
          <a:solidFill>
            <a:schemeClr val="tx1"/>
          </a:solidFill>
        </a:ln>
      </c:spPr>
      <c:txPr>
        <a:bodyPr/>
        <a:lstStyle/>
        <a:p>
          <a:pPr>
            <a:defRPr sz="1200" b="0" i="0" u="none" strike="noStrike" baseline="0">
              <a:solidFill>
                <a:srgbClr val="000000"/>
              </a:solidFill>
              <a:latin typeface="Trebuchet MS"/>
              <a:ea typeface="Trebuchet MS"/>
              <a:cs typeface="Trebuchet MS"/>
            </a:defRPr>
          </a:pPr>
          <a:endParaRPr lang="en-US"/>
        </a:p>
      </c:txPr>
    </c:legend>
    <c:plotVisOnly val="0"/>
    <c:dispBlanksAs val="gap"/>
    <c:showDLblsOverMax val="0"/>
  </c:chart>
  <c:spPr>
    <a:ln>
      <a:solidFill>
        <a:schemeClr val="accent1"/>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chemeClr val="accent1"/>
                </a:solidFill>
                <a:latin typeface="Trebuchet MS"/>
                <a:ea typeface="Trebuchet MS"/>
                <a:cs typeface="Trebuchet MS"/>
              </a:defRPr>
            </a:pPr>
            <a:r>
              <a:rPr lang="en-US">
                <a:solidFill>
                  <a:schemeClr val="accent1"/>
                </a:solidFill>
              </a:rPr>
              <a:t>Average Rate vs Credit Risk (time-weighted) 
</a:t>
            </a:r>
          </a:p>
        </c:rich>
      </c:tx>
      <c:layout/>
      <c:overlay val="0"/>
    </c:title>
    <c:autoTitleDeleted val="0"/>
    <c:plotArea>
      <c:layout>
        <c:manualLayout>
          <c:layoutTarget val="inner"/>
          <c:xMode val="edge"/>
          <c:yMode val="edge"/>
          <c:x val="8.606444374005856E-2"/>
          <c:y val="8.611209278548794E-2"/>
          <c:w val="0.90158250218722591"/>
          <c:h val="0.72490953521091994"/>
        </c:manualLayout>
      </c:layout>
      <c:scatterChart>
        <c:scatterStyle val="lineMarker"/>
        <c:varyColors val="0"/>
        <c:ser>
          <c:idx val="0"/>
          <c:order val="0"/>
          <c:tx>
            <c:v>Benchmarking</c:v>
          </c:tx>
          <c:spPr>
            <a:ln w="28575">
              <a:noFill/>
            </a:ln>
          </c:spPr>
          <c:marker>
            <c:symbol val="diamond"/>
            <c:size val="5"/>
            <c:spPr>
              <a:solidFill>
                <a:schemeClr val="accent1"/>
              </a:solidFill>
              <a:ln>
                <a:noFill/>
              </a:ln>
            </c:spPr>
          </c:marker>
          <c:trendline>
            <c:trendlineType val="linear"/>
            <c:dispRSqr val="0"/>
            <c:dispEq val="0"/>
          </c:trendline>
          <c:xVal>
            <c:numRef>
              <c:f>Benchmarking!$P$14:$P$132</c:f>
              <c:numCache>
                <c:formatCode>0.00</c:formatCode>
                <c:ptCount val="119"/>
                <c:pt idx="0">
                  <c:v>1.9042648831092368</c:v>
                </c:pt>
                <c:pt idx="1">
                  <c:v>3.5213279739255388</c:v>
                </c:pt>
                <c:pt idx="2">
                  <c:v>3.473703022021652</c:v>
                </c:pt>
                <c:pt idx="3">
                  <c:v>4.5394612755047721</c:v>
                </c:pt>
                <c:pt idx="4">
                  <c:v>3.1475899236067586</c:v>
                </c:pt>
                <c:pt idx="5">
                  <c:v>2.7383944855391618</c:v>
                </c:pt>
                <c:pt idx="6">
                  <c:v>3.0175313523993519</c:v>
                </c:pt>
                <c:pt idx="7">
                  <c:v>1.3182057115386969</c:v>
                </c:pt>
                <c:pt idx="8">
                  <c:v>1.9042648831092368</c:v>
                </c:pt>
                <c:pt idx="9">
                  <c:v>2.9531910375352144</c:v>
                </c:pt>
                <c:pt idx="10">
                  <c:v>4.2230671467339462</c:v>
                </c:pt>
                <c:pt idx="11">
                  <c:v>2.7740869942818063</c:v>
                </c:pt>
                <c:pt idx="12">
                  <c:v>3.4975449219111288</c:v>
                </c:pt>
                <c:pt idx="13">
                  <c:v>2.6036445041625877</c:v>
                </c:pt>
                <c:pt idx="14">
                  <c:v>2.7842466978248352</c:v>
                </c:pt>
                <c:pt idx="15">
                  <c:v>3.3447342705485807</c:v>
                </c:pt>
                <c:pt idx="16">
                  <c:v>1.920917217243945</c:v>
                </c:pt>
                <c:pt idx="17">
                  <c:v>5.9087839988153563</c:v>
                </c:pt>
                <c:pt idx="18">
                  <c:v>5.71875</c:v>
                </c:pt>
                <c:pt idx="19">
                  <c:v>3.5237250105262925</c:v>
                </c:pt>
                <c:pt idx="20">
                  <c:v>5.287146577606439</c:v>
                </c:pt>
                <c:pt idx="21">
                  <c:v>3.0441312145309878</c:v>
                </c:pt>
                <c:pt idx="22">
                  <c:v>1.7829259242633422</c:v>
                </c:pt>
                <c:pt idx="23">
                  <c:v>6.2500605335778046</c:v>
                </c:pt>
                <c:pt idx="24">
                  <c:v>4.7641261053245856</c:v>
                </c:pt>
                <c:pt idx="25">
                  <c:v>4.8018346211476919</c:v>
                </c:pt>
                <c:pt idx="26">
                  <c:v>4.7131137253275375</c:v>
                </c:pt>
                <c:pt idx="27">
                  <c:v>5.5695296459761021</c:v>
                </c:pt>
                <c:pt idx="28">
                  <c:v>5.3716211621330574</c:v>
                </c:pt>
                <c:pt idx="29">
                  <c:v>3.9844971566201304</c:v>
                </c:pt>
                <c:pt idx="30">
                  <c:v>4.8143972612578594</c:v>
                </c:pt>
                <c:pt idx="31">
                  <c:v>3.0151124619905829</c:v>
                </c:pt>
                <c:pt idx="32">
                  <c:v>2.3037355078452015</c:v>
                </c:pt>
                <c:pt idx="33">
                  <c:v>3.86212961686019</c:v>
                </c:pt>
                <c:pt idx="34">
                  <c:v>4.3806111483547605</c:v>
                </c:pt>
                <c:pt idx="35">
                  <c:v>3.8460538062622689</c:v>
                </c:pt>
                <c:pt idx="36">
                  <c:v>5.237035085600894</c:v>
                </c:pt>
                <c:pt idx="37">
                  <c:v>5.7018867924528305</c:v>
                </c:pt>
                <c:pt idx="38">
                  <c:v>2.6554870986148988</c:v>
                </c:pt>
                <c:pt idx="39">
                  <c:v>5.3008955418726948</c:v>
                </c:pt>
                <c:pt idx="40">
                  <c:v>3.4012051428927195</c:v>
                </c:pt>
                <c:pt idx="41">
                  <c:v>5.7945971964603284</c:v>
                </c:pt>
                <c:pt idx="42">
                  <c:v>1.4270927246645548</c:v>
                </c:pt>
                <c:pt idx="43">
                  <c:v>2.8967840044083784</c:v>
                </c:pt>
                <c:pt idx="44">
                  <c:v>3.6814836183064261</c:v>
                </c:pt>
                <c:pt idx="45">
                  <c:v>2.7668402010686668</c:v>
                </c:pt>
                <c:pt idx="46">
                  <c:v>4.8809319151884933</c:v>
                </c:pt>
                <c:pt idx="47">
                  <c:v>2.1299297174893148</c:v>
                </c:pt>
                <c:pt idx="48">
                  <c:v>2.6657968104543963</c:v>
                </c:pt>
                <c:pt idx="49">
                  <c:v>3.086437987400124</c:v>
                </c:pt>
                <c:pt idx="50">
                  <c:v>2.7930191315013131</c:v>
                </c:pt>
                <c:pt idx="51">
                  <c:v>5.5960493085694374</c:v>
                </c:pt>
                <c:pt idx="52">
                  <c:v>8.358134110154321</c:v>
                </c:pt>
                <c:pt idx="53">
                  <c:v>1.9530853731739264</c:v>
                </c:pt>
                <c:pt idx="54">
                  <c:v>5.8665478628987113</c:v>
                </c:pt>
                <c:pt idx="55">
                  <c:v>1.7384444727273949</c:v>
                </c:pt>
                <c:pt idx="56">
                  <c:v>3.0556462895421235</c:v>
                </c:pt>
                <c:pt idx="57">
                  <c:v>3.3606424940546566</c:v>
                </c:pt>
                <c:pt idx="58">
                  <c:v>5.1068512330509375</c:v>
                </c:pt>
                <c:pt idx="59">
                  <c:v>4.2459860490044186</c:v>
                </c:pt>
                <c:pt idx="60">
                  <c:v>3.4414489798058154</c:v>
                </c:pt>
                <c:pt idx="61">
                  <c:v>3.9012207039560534</c:v>
                </c:pt>
                <c:pt idx="62">
                  <c:v>2.7489122968910187</c:v>
                </c:pt>
                <c:pt idx="63">
                  <c:v>5.875</c:v>
                </c:pt>
                <c:pt idx="64">
                  <c:v>5.9665620984785068</c:v>
                </c:pt>
                <c:pt idx="65">
                  <c:v>5.8164553471553999</c:v>
                </c:pt>
                <c:pt idx="66">
                  <c:v>3.7068800788431782</c:v>
                </c:pt>
                <c:pt idx="67">
                  <c:v>4.3216968148679973</c:v>
                </c:pt>
                <c:pt idx="68">
                  <c:v>2.9676144155962731</c:v>
                </c:pt>
                <c:pt idx="69">
                  <c:v>5.9340817226467566</c:v>
                </c:pt>
                <c:pt idx="70">
                  <c:v>2.5723342006600425</c:v>
                </c:pt>
                <c:pt idx="71">
                  <c:v>1.6536474033808009</c:v>
                </c:pt>
                <c:pt idx="72">
                  <c:v>6.4392705869938105</c:v>
                </c:pt>
                <c:pt idx="73">
                  <c:v>2.6084211974750167</c:v>
                </c:pt>
                <c:pt idx="74">
                  <c:v>5.1930310085808697</c:v>
                </c:pt>
                <c:pt idx="75">
                  <c:v>4.0693772239279369</c:v>
                </c:pt>
                <c:pt idx="76">
                  <c:v>5.3153295902047848</c:v>
                </c:pt>
                <c:pt idx="77">
                  <c:v>4.8381856676191921</c:v>
                </c:pt>
                <c:pt idx="78">
                  <c:v>2.9314841759049965</c:v>
                </c:pt>
                <c:pt idx="79">
                  <c:v>1.6685366135350475</c:v>
                </c:pt>
                <c:pt idx="80">
                  <c:v>3.0745294023479484</c:v>
                </c:pt>
                <c:pt idx="81">
                  <c:v>4</c:v>
                </c:pt>
                <c:pt idx="82">
                  <c:v>5.2672075726842458</c:v>
                </c:pt>
                <c:pt idx="83">
                  <c:v>2.9546069549370655</c:v>
                </c:pt>
                <c:pt idx="84">
                  <c:v>3.3770692470227046</c:v>
                </c:pt>
                <c:pt idx="85">
                  <c:v>2.6969784347688921</c:v>
                </c:pt>
                <c:pt idx="86">
                  <c:v>3.0024417812616067</c:v>
                </c:pt>
                <c:pt idx="87">
                  <c:v>4.6490377330802453</c:v>
                </c:pt>
                <c:pt idx="88">
                  <c:v>5.351085887734599</c:v>
                </c:pt>
                <c:pt idx="89">
                  <c:v>5.6165489959919865</c:v>
                </c:pt>
                <c:pt idx="90">
                  <c:v>4.4992554384292536</c:v>
                </c:pt>
                <c:pt idx="91">
                  <c:v>1.7461823047594141</c:v>
                </c:pt>
                <c:pt idx="92">
                  <c:v>7.6383838780436788</c:v>
                </c:pt>
                <c:pt idx="93">
                  <c:v>5.6702898550724647</c:v>
                </c:pt>
                <c:pt idx="94">
                  <c:v>4.6767690600641707</c:v>
                </c:pt>
                <c:pt idx="95">
                  <c:v>4.8891548853283062</c:v>
                </c:pt>
                <c:pt idx="96">
                  <c:v>5.3301306946404443</c:v>
                </c:pt>
                <c:pt idx="97">
                  <c:v>3.9683288008081168</c:v>
                </c:pt>
                <c:pt idx="98">
                  <c:v>3.284359975589294</c:v>
                </c:pt>
                <c:pt idx="99">
                  <c:v>6</c:v>
                </c:pt>
                <c:pt idx="100">
                  <c:v>4.1268106330652961</c:v>
                </c:pt>
                <c:pt idx="101">
                  <c:v>4.0611111111111109</c:v>
                </c:pt>
                <c:pt idx="102">
                  <c:v>5.5824887983534621</c:v>
                </c:pt>
                <c:pt idx="103">
                  <c:v>5.0034818255510167</c:v>
                </c:pt>
                <c:pt idx="104">
                  <c:v>5.9600809798600238</c:v>
                </c:pt>
                <c:pt idx="105">
                  <c:v>5.8063471883932829</c:v>
                </c:pt>
                <c:pt idx="106">
                  <c:v>2.7252100825847068</c:v>
                </c:pt>
                <c:pt idx="107">
                  <c:v>4.074135323176348</c:v>
                </c:pt>
                <c:pt idx="108">
                  <c:v>6</c:v>
                </c:pt>
                <c:pt idx="109">
                  <c:v>4.9572052824080695</c:v>
                </c:pt>
                <c:pt idx="110">
                  <c:v>4.8931749359422323</c:v>
                </c:pt>
                <c:pt idx="111">
                  <c:v>6.3672692550871623</c:v>
                </c:pt>
                <c:pt idx="112">
                  <c:v>4.8805874069603705</c:v>
                </c:pt>
                <c:pt idx="113">
                  <c:v>5.3239404352806412</c:v>
                </c:pt>
                <c:pt idx="114">
                  <c:v>3.6163405416113701</c:v>
                </c:pt>
                <c:pt idx="115">
                  <c:v>4.2917415896349089</c:v>
                </c:pt>
                <c:pt idx="116">
                  <c:v>6</c:v>
                </c:pt>
                <c:pt idx="117">
                  <c:v>2.2941151230396257</c:v>
                </c:pt>
                <c:pt idx="118">
                  <c:v>4.9181866709639728</c:v>
                </c:pt>
              </c:numCache>
            </c:numRef>
          </c:xVal>
          <c:yVal>
            <c:numRef>
              <c:f>Benchmarking!$J$14:$J$132</c:f>
              <c:numCache>
                <c:formatCode>0.00%</c:formatCode>
                <c:ptCount val="119"/>
                <c:pt idx="0">
                  <c:v>1.67487262838465E-2</c:v>
                </c:pt>
                <c:pt idx="1">
                  <c:v>9.1940391162138712E-3</c:v>
                </c:pt>
                <c:pt idx="2">
                  <c:v>7.0580528166094862E-3</c:v>
                </c:pt>
                <c:pt idx="3">
                  <c:v>6.2073521755299371E-3</c:v>
                </c:pt>
                <c:pt idx="4">
                  <c:v>9.6113265861565659E-3</c:v>
                </c:pt>
                <c:pt idx="5">
                  <c:v>1.28516323492101E-2</c:v>
                </c:pt>
                <c:pt idx="6">
                  <c:v>6.3806118456572651E-3</c:v>
                </c:pt>
                <c:pt idx="7">
                  <c:v>6.8531455585903022E-3</c:v>
                </c:pt>
                <c:pt idx="8">
                  <c:v>1.67487262838465E-2</c:v>
                </c:pt>
                <c:pt idx="9">
                  <c:v>7.7915997776731027E-3</c:v>
                </c:pt>
                <c:pt idx="10">
                  <c:v>7.9501069575458258E-3</c:v>
                </c:pt>
                <c:pt idx="11">
                  <c:v>4.6504911770056398E-3</c:v>
                </c:pt>
                <c:pt idx="12">
                  <c:v>7.4486435316336161E-3</c:v>
                </c:pt>
                <c:pt idx="13">
                  <c:v>4.3752744618395303E-3</c:v>
                </c:pt>
                <c:pt idx="14">
                  <c:v>1.1663910446653179E-2</c:v>
                </c:pt>
                <c:pt idx="15">
                  <c:v>4.514482103678356E-3</c:v>
                </c:pt>
                <c:pt idx="16">
                  <c:v>2.0057872738323775E-2</c:v>
                </c:pt>
                <c:pt idx="17">
                  <c:v>4.7705882352941176E-3</c:v>
                </c:pt>
                <c:pt idx="18">
                  <c:v>4.1250000000000002E-3</c:v>
                </c:pt>
                <c:pt idx="19">
                  <c:v>6.3884699453551916E-3</c:v>
                </c:pt>
                <c:pt idx="20">
                  <c:v>7.0726070991432065E-3</c:v>
                </c:pt>
                <c:pt idx="21">
                  <c:v>8.3820638820638824E-3</c:v>
                </c:pt>
                <c:pt idx="22">
                  <c:v>3.4550229634689655E-3</c:v>
                </c:pt>
                <c:pt idx="23">
                  <c:v>5.6523279014900419E-3</c:v>
                </c:pt>
                <c:pt idx="24">
                  <c:v>9.371474171126255E-3</c:v>
                </c:pt>
                <c:pt idx="25">
                  <c:v>5.0920836751435607E-3</c:v>
                </c:pt>
                <c:pt idx="26">
                  <c:v>5.7029374788925002E-3</c:v>
                </c:pt>
                <c:pt idx="27">
                  <c:v>8.9023916712480441E-3</c:v>
                </c:pt>
                <c:pt idx="28">
                  <c:v>6.755967867065827E-3</c:v>
                </c:pt>
                <c:pt idx="29">
                  <c:v>6.2700121873692895E-3</c:v>
                </c:pt>
                <c:pt idx="30">
                  <c:v>3.5999999999999999E-3</c:v>
                </c:pt>
                <c:pt idx="31">
                  <c:v>2.7618622508544348E-3</c:v>
                </c:pt>
                <c:pt idx="32">
                  <c:v>7.035425504803316E-3</c:v>
                </c:pt>
                <c:pt idx="33">
                  <c:v>4.2974678771258322E-3</c:v>
                </c:pt>
                <c:pt idx="34">
                  <c:v>3.9985331423895258E-3</c:v>
                </c:pt>
                <c:pt idx="35">
                  <c:v>4.6585467926599823E-3</c:v>
                </c:pt>
                <c:pt idx="36">
                  <c:v>5.8814276689829435E-3</c:v>
                </c:pt>
                <c:pt idx="37">
                  <c:v>6.0639999999999999E-3</c:v>
                </c:pt>
                <c:pt idx="38">
                  <c:v>7.8562691731757367E-3</c:v>
                </c:pt>
                <c:pt idx="39">
                  <c:v>3.7836510018453393E-3</c:v>
                </c:pt>
                <c:pt idx="40">
                  <c:v>6.9943969465814208E-3</c:v>
                </c:pt>
                <c:pt idx="41">
                  <c:v>5.8333333333333336E-3</c:v>
                </c:pt>
                <c:pt idx="42">
                  <c:v>7.8011042389595801E-3</c:v>
                </c:pt>
                <c:pt idx="43">
                  <c:v>7.7156423806529276E-3</c:v>
                </c:pt>
                <c:pt idx="44">
                  <c:v>8.1389539540352301E-3</c:v>
                </c:pt>
                <c:pt idx="45">
                  <c:v>6.4908054431776392E-3</c:v>
                </c:pt>
                <c:pt idx="46">
                  <c:v>7.6572905525846705E-3</c:v>
                </c:pt>
                <c:pt idx="47">
                  <c:v>4.8723141596766877E-3</c:v>
                </c:pt>
                <c:pt idx="48">
                  <c:v>7.7664929487288739E-3</c:v>
                </c:pt>
                <c:pt idx="49">
                  <c:v>5.8565679830145812E-3</c:v>
                </c:pt>
                <c:pt idx="50">
                  <c:v>8.6813533848091543E-3</c:v>
                </c:pt>
                <c:pt idx="51">
                  <c:v>4.7403250000000001E-3</c:v>
                </c:pt>
                <c:pt idx="52">
                  <c:v>1.3668855045383555E-2</c:v>
                </c:pt>
                <c:pt idx="53">
                  <c:v>6.0367613820355645E-3</c:v>
                </c:pt>
                <c:pt idx="54">
                  <c:v>9.931682047305157E-3</c:v>
                </c:pt>
                <c:pt idx="55">
                  <c:v>2.7383633633633634E-3</c:v>
                </c:pt>
                <c:pt idx="56">
                  <c:v>7.5108372210636338E-3</c:v>
                </c:pt>
                <c:pt idx="57">
                  <c:v>1.1445731520875833E-2</c:v>
                </c:pt>
                <c:pt idx="58">
                  <c:v>2.3873288563170895E-2</c:v>
                </c:pt>
                <c:pt idx="59">
                  <c:v>5.6314116099710132E-3</c:v>
                </c:pt>
                <c:pt idx="60">
                  <c:v>8.8898271890550384E-3</c:v>
                </c:pt>
                <c:pt idx="61">
                  <c:v>7.8267292285838543E-3</c:v>
                </c:pt>
                <c:pt idx="62">
                  <c:v>8.8035334430628335E-3</c:v>
                </c:pt>
                <c:pt idx="63">
                  <c:v>3.5625000000000001E-3</c:v>
                </c:pt>
                <c:pt idx="64">
                  <c:v>4.466544168900805E-3</c:v>
                </c:pt>
                <c:pt idx="65">
                  <c:v>5.2275536168665936E-3</c:v>
                </c:pt>
                <c:pt idx="66">
                  <c:v>6.0447143643303745E-3</c:v>
                </c:pt>
                <c:pt idx="67">
                  <c:v>4.3277583617850404E-3</c:v>
                </c:pt>
                <c:pt idx="68">
                  <c:v>4.7053708519061961E-3</c:v>
                </c:pt>
                <c:pt idx="69">
                  <c:v>5.0905507246376816E-3</c:v>
                </c:pt>
                <c:pt idx="70">
                  <c:v>6.6870200974110776E-3</c:v>
                </c:pt>
                <c:pt idx="71">
                  <c:v>3.4506650166473839E-3</c:v>
                </c:pt>
                <c:pt idx="72">
                  <c:v>8.2196065173116093E-3</c:v>
                </c:pt>
                <c:pt idx="73">
                  <c:v>5.7036048064085451E-3</c:v>
                </c:pt>
                <c:pt idx="74">
                  <c:v>6.8369402438834955E-3</c:v>
                </c:pt>
                <c:pt idx="75">
                  <c:v>8.4409631980536075E-3</c:v>
                </c:pt>
                <c:pt idx="76">
                  <c:v>5.9030952380952377E-3</c:v>
                </c:pt>
                <c:pt idx="77">
                  <c:v>4.9661727921683262E-3</c:v>
                </c:pt>
                <c:pt idx="78">
                  <c:v>8.824027831239695E-3</c:v>
                </c:pt>
                <c:pt idx="79">
                  <c:v>8.3038355917569116E-3</c:v>
                </c:pt>
                <c:pt idx="80">
                  <c:v>3.8365422508464513E-3</c:v>
                </c:pt>
                <c:pt idx="81">
                  <c:v>3.7670226969292388E-3</c:v>
                </c:pt>
                <c:pt idx="82">
                  <c:v>7.3753846153846152E-3</c:v>
                </c:pt>
                <c:pt idx="83">
                  <c:v>6.5147495852248905E-3</c:v>
                </c:pt>
                <c:pt idx="84">
                  <c:v>6.9260799964829143E-3</c:v>
                </c:pt>
                <c:pt idx="85">
                  <c:v>3.0995458416122621E-3</c:v>
                </c:pt>
                <c:pt idx="86">
                  <c:v>5.9163914516272061E-3</c:v>
                </c:pt>
                <c:pt idx="87">
                  <c:v>7.0856092071876929E-3</c:v>
                </c:pt>
                <c:pt idx="88">
                  <c:v>6.4890724946695096E-3</c:v>
                </c:pt>
                <c:pt idx="89">
                  <c:v>6.0140647423860506E-3</c:v>
                </c:pt>
                <c:pt idx="90">
                  <c:v>4.3473601957926804E-3</c:v>
                </c:pt>
                <c:pt idx="91">
                  <c:v>1.0547197742431087E-2</c:v>
                </c:pt>
                <c:pt idx="92">
                  <c:v>6.3111744583808438E-3</c:v>
                </c:pt>
                <c:pt idx="93">
                  <c:v>6.1000000000000004E-3</c:v>
                </c:pt>
                <c:pt idx="94">
                  <c:v>5.5420519395800233E-3</c:v>
                </c:pt>
                <c:pt idx="95">
                  <c:v>5.3014999999999998E-3</c:v>
                </c:pt>
                <c:pt idx="96">
                  <c:v>5.1681209594799877E-3</c:v>
                </c:pt>
                <c:pt idx="97">
                  <c:v>7.4128691108019465E-3</c:v>
                </c:pt>
                <c:pt idx="98">
                  <c:v>8.0352104811195185E-3</c:v>
                </c:pt>
                <c:pt idx="99">
                  <c:v>4.0000000000000001E-3</c:v>
                </c:pt>
                <c:pt idx="100">
                  <c:v>3.6270746887966804E-3</c:v>
                </c:pt>
                <c:pt idx="101">
                  <c:v>3.8175000000000001E-3</c:v>
                </c:pt>
                <c:pt idx="102">
                  <c:v>7.5181841202616381E-3</c:v>
                </c:pt>
                <c:pt idx="103">
                  <c:v>1.2173913906610729E-2</c:v>
                </c:pt>
                <c:pt idx="104">
                  <c:v>5.5698404488341152E-3</c:v>
                </c:pt>
                <c:pt idx="105">
                  <c:v>5.7606153846153849E-3</c:v>
                </c:pt>
                <c:pt idx="106">
                  <c:v>4.2432691896826698E-3</c:v>
                </c:pt>
                <c:pt idx="107">
                  <c:v>4.3714905466110832E-3</c:v>
                </c:pt>
                <c:pt idx="108">
                  <c:v>8.0000000000000002E-3</c:v>
                </c:pt>
                <c:pt idx="109">
                  <c:v>4.1768689337619153E-3</c:v>
                </c:pt>
                <c:pt idx="110">
                  <c:v>5.0717948717948717E-3</c:v>
                </c:pt>
                <c:pt idx="111">
                  <c:v>8.2029117379435849E-3</c:v>
                </c:pt>
                <c:pt idx="112">
                  <c:v>6.22027972027972E-3</c:v>
                </c:pt>
                <c:pt idx="113">
                  <c:v>4.6910020449897755E-3</c:v>
                </c:pt>
                <c:pt idx="114">
                  <c:v>7.1333003630854293E-3</c:v>
                </c:pt>
                <c:pt idx="115">
                  <c:v>4.3807162745783832E-3</c:v>
                </c:pt>
                <c:pt idx="116">
                  <c:v>1.4E-2</c:v>
                </c:pt>
                <c:pt idx="117">
                  <c:v>2.8217235188509873E-3</c:v>
                </c:pt>
                <c:pt idx="118">
                  <c:v>7.1632010081915561E-3</c:v>
                </c:pt>
              </c:numCache>
            </c:numRef>
          </c:yVal>
          <c:smooth val="0"/>
        </c:ser>
        <c:ser>
          <c:idx val="1"/>
          <c:order val="1"/>
          <c:tx>
            <c:v>Average</c:v>
          </c:tx>
          <c:spPr>
            <a:ln w="28575">
              <a:noFill/>
            </a:ln>
          </c:spPr>
          <c:marker>
            <c:symbol val="none"/>
          </c:marker>
          <c:errBars>
            <c:errDir val="x"/>
            <c:errBarType val="both"/>
            <c:errValType val="fixedVal"/>
            <c:noEndCap val="0"/>
            <c:val val="1200"/>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Benchmarking!$P$133</c:f>
              <c:numCache>
                <c:formatCode>0.00</c:formatCode>
                <c:ptCount val="1"/>
                <c:pt idx="0">
                  <c:v>4.1097380107624639</c:v>
                </c:pt>
              </c:numCache>
            </c:numRef>
          </c:xVal>
          <c:yVal>
            <c:numRef>
              <c:f>Benchmarking!$J$133</c:f>
              <c:numCache>
                <c:formatCode>0.00%</c:formatCode>
                <c:ptCount val="1"/>
                <c:pt idx="0">
                  <c:v>6.810470824621339E-3</c:v>
                </c:pt>
              </c:numCache>
            </c:numRef>
          </c:yVal>
          <c:smooth val="0"/>
        </c:ser>
        <c:ser>
          <c:idx val="2"/>
          <c:order val="2"/>
          <c:tx>
            <c:v>SD +</c:v>
          </c:tx>
          <c:spPr>
            <a:ln w="28575">
              <a:noFill/>
            </a:ln>
          </c:spPr>
          <c:marker>
            <c:symbol val="none"/>
          </c:marker>
          <c:errBars>
            <c:errDir val="x"/>
            <c:errBarType val="both"/>
            <c:errValType val="fixedVal"/>
            <c:noEndCap val="0"/>
            <c:val val="10"/>
            <c:spPr>
              <a:ln w="3175">
                <a:solidFill>
                  <a:srgbClr val="000000"/>
                </a:solidFill>
                <a:prstDash val="lgDash"/>
              </a:ln>
            </c:spPr>
          </c:errBars>
          <c:errBars>
            <c:errDir val="y"/>
            <c:errBarType val="both"/>
            <c:errValType val="fixedVal"/>
            <c:noEndCap val="0"/>
            <c:val val="1"/>
            <c:spPr>
              <a:ln w="3175">
                <a:solidFill>
                  <a:srgbClr val="000000"/>
                </a:solidFill>
                <a:prstDash val="lgDash"/>
              </a:ln>
            </c:spPr>
          </c:errBars>
          <c:xVal>
            <c:numRef>
              <c:f>Benchmarking!$P$135</c:f>
              <c:numCache>
                <c:formatCode>0.00</c:formatCode>
                <c:ptCount val="1"/>
                <c:pt idx="0">
                  <c:v>5.5408232899050844</c:v>
                </c:pt>
              </c:numCache>
            </c:numRef>
          </c:xVal>
          <c:yVal>
            <c:numRef>
              <c:f>Benchmarking!$J$135</c:f>
              <c:numCache>
                <c:formatCode>0.00%</c:formatCode>
                <c:ptCount val="1"/>
                <c:pt idx="0">
                  <c:v>9.9723902304157657E-3</c:v>
                </c:pt>
              </c:numCache>
            </c:numRef>
          </c:yVal>
          <c:smooth val="0"/>
        </c:ser>
        <c:ser>
          <c:idx val="3"/>
          <c:order val="3"/>
          <c:tx>
            <c:v>SD  -</c:v>
          </c:tx>
          <c:spPr>
            <a:ln w="28575">
              <a:noFill/>
            </a:ln>
          </c:spPr>
          <c:marker>
            <c:symbol val="none"/>
          </c:marker>
          <c:errBars>
            <c:errDir val="x"/>
            <c:errBarType val="both"/>
            <c:errValType val="fixedVal"/>
            <c:noEndCap val="0"/>
            <c:val val="5"/>
            <c:spPr>
              <a:ln w="3175">
                <a:solidFill>
                  <a:srgbClr val="000000"/>
                </a:solidFill>
                <a:prstDash val="lgDash"/>
              </a:ln>
            </c:spPr>
          </c:errBars>
          <c:errBars>
            <c:errDir val="y"/>
            <c:errBarType val="both"/>
            <c:errValType val="fixedVal"/>
            <c:noEndCap val="0"/>
            <c:val val="1"/>
            <c:spPr>
              <a:ln w="3175">
                <a:solidFill>
                  <a:srgbClr val="000000"/>
                </a:solidFill>
                <a:prstDash val="lgDash"/>
              </a:ln>
            </c:spPr>
          </c:errBars>
          <c:xVal>
            <c:numRef>
              <c:f>Benchmarking!$P$136</c:f>
              <c:numCache>
                <c:formatCode>0.00</c:formatCode>
                <c:ptCount val="1"/>
                <c:pt idx="0">
                  <c:v>2.6786527316198434</c:v>
                </c:pt>
              </c:numCache>
            </c:numRef>
          </c:xVal>
          <c:yVal>
            <c:numRef>
              <c:f>Benchmarking!$J$136</c:f>
              <c:numCache>
                <c:formatCode>0.00%</c:formatCode>
                <c:ptCount val="1"/>
                <c:pt idx="0">
                  <c:v>3.6485514188269118E-3</c:v>
                </c:pt>
              </c:numCache>
            </c:numRef>
          </c:yVal>
          <c:smooth val="0"/>
        </c:ser>
        <c:ser>
          <c:idx val="7"/>
          <c:order val="4"/>
          <c:tx>
            <c:strRef>
              <c:f>Benchmarking!$B$14</c:f>
              <c:strCache>
                <c:ptCount val="1"/>
                <c:pt idx="0">
                  <c:v>Lancashire CC - 31/03/2015</c:v>
                </c:pt>
              </c:strCache>
            </c:strRef>
          </c:tx>
          <c:spPr>
            <a:ln w="28575">
              <a:noFill/>
            </a:ln>
          </c:spPr>
          <c:marker>
            <c:symbol val="circle"/>
            <c:size val="8"/>
            <c:spPr>
              <a:solidFill>
                <a:srgbClr val="00B0F0"/>
              </a:solidFill>
              <a:ln>
                <a:solidFill>
                  <a:sysClr val="windowText" lastClr="000000"/>
                </a:solidFill>
              </a:ln>
            </c:spPr>
          </c:marker>
          <c:xVal>
            <c:numRef>
              <c:f>Benchmarking!$P$14</c:f>
              <c:numCache>
                <c:formatCode>0.00</c:formatCode>
                <c:ptCount val="1"/>
                <c:pt idx="0">
                  <c:v>1.9042648831092368</c:v>
                </c:pt>
              </c:numCache>
            </c:numRef>
          </c:xVal>
          <c:yVal>
            <c:numRef>
              <c:f>Benchmarking!$J$14</c:f>
              <c:numCache>
                <c:formatCode>0.00%</c:formatCode>
                <c:ptCount val="1"/>
                <c:pt idx="0">
                  <c:v>1.67487262838465E-2</c:v>
                </c:pt>
              </c:numCache>
            </c:numRef>
          </c:yVal>
          <c:smooth val="0"/>
        </c:ser>
        <c:dLbls>
          <c:showLegendKey val="0"/>
          <c:showVal val="0"/>
          <c:showCatName val="0"/>
          <c:showSerName val="0"/>
          <c:showPercent val="0"/>
          <c:showBubbleSize val="0"/>
        </c:dLbls>
        <c:axId val="145864176"/>
        <c:axId val="145864568"/>
      </c:scatterChart>
      <c:valAx>
        <c:axId val="145864176"/>
        <c:scaling>
          <c:orientation val="minMax"/>
          <c:max val="8.5"/>
          <c:min val="1"/>
        </c:scaling>
        <c:delete val="0"/>
        <c:axPos val="b"/>
        <c:title>
          <c:tx>
            <c:rich>
              <a:bodyPr/>
              <a:lstStyle/>
              <a:p>
                <a:pPr>
                  <a:defRPr sz="1200" b="1" i="0" u="none" strike="noStrike" baseline="0">
                    <a:solidFill>
                      <a:schemeClr val="accent1"/>
                    </a:solidFill>
                    <a:latin typeface="Trebuchet MS"/>
                    <a:ea typeface="Trebuchet MS"/>
                    <a:cs typeface="Trebuchet MS"/>
                  </a:defRPr>
                </a:pPr>
                <a:r>
                  <a:rPr lang="en-US" sz="1200">
                    <a:solidFill>
                      <a:schemeClr val="accent1"/>
                    </a:solidFill>
                  </a:rPr>
                  <a:t>Average Credit Risk Score - Time Weighted Average</a:t>
                </a:r>
              </a:p>
            </c:rich>
          </c:tx>
          <c:layout>
            <c:manualLayout>
              <c:xMode val="edge"/>
              <c:yMode val="edge"/>
              <c:x val="0.36548386836260854"/>
              <c:y val="0.88529034658069317"/>
            </c:manualLayout>
          </c:layout>
          <c:overlay val="0"/>
        </c:title>
        <c:numFmt formatCode="General"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45864568"/>
        <c:crosses val="autoZero"/>
        <c:crossBetween val="midCat"/>
        <c:majorUnit val="1"/>
      </c:valAx>
      <c:valAx>
        <c:axId val="145864568"/>
        <c:scaling>
          <c:orientation val="minMax"/>
          <c:max val="2.5000000000000005E-2"/>
          <c:min val="0"/>
        </c:scaling>
        <c:delete val="0"/>
        <c:axPos val="l"/>
        <c:title>
          <c:tx>
            <c:rich>
              <a:bodyPr/>
              <a:lstStyle/>
              <a:p>
                <a:pPr>
                  <a:defRPr sz="1200" b="1" i="0" u="none" strike="noStrike" baseline="0">
                    <a:solidFill>
                      <a:schemeClr val="accent1"/>
                    </a:solidFill>
                    <a:latin typeface="Trebuchet MS"/>
                    <a:ea typeface="Trebuchet MS"/>
                    <a:cs typeface="Trebuchet MS"/>
                  </a:defRPr>
                </a:pPr>
                <a:r>
                  <a:rPr lang="en-US" sz="1200">
                    <a:solidFill>
                      <a:schemeClr val="accent1"/>
                    </a:solidFill>
                  </a:rPr>
                  <a:t>Average Rate of Investments</a:t>
                </a:r>
              </a:p>
            </c:rich>
          </c:tx>
          <c:layout/>
          <c:overlay val="0"/>
        </c:title>
        <c:numFmt formatCode="0.0%" sourceLinked="0"/>
        <c:majorTickMark val="out"/>
        <c:minorTickMark val="none"/>
        <c:tickLblPos val="nextTo"/>
        <c:spPr>
          <a:noFill/>
        </c:spPr>
        <c:txPr>
          <a:bodyPr rot="0" vert="horz"/>
          <a:lstStyle/>
          <a:p>
            <a:pPr>
              <a:defRPr sz="1200" b="0" i="0" u="none" strike="noStrike" baseline="0">
                <a:solidFill>
                  <a:srgbClr val="000000"/>
                </a:solidFill>
                <a:latin typeface="Calibri"/>
                <a:ea typeface="Calibri"/>
                <a:cs typeface="Calibri"/>
              </a:defRPr>
            </a:pPr>
            <a:endParaRPr lang="en-US"/>
          </a:p>
        </c:txPr>
        <c:crossAx val="145864176"/>
        <c:crosses val="autoZero"/>
        <c:crossBetween val="midCat"/>
      </c:valAx>
      <c:spPr>
        <a:solidFill>
          <a:sysClr val="window" lastClr="FFFFFF">
            <a:lumMod val="85000"/>
          </a:sysClr>
        </a:solidFill>
        <a:ln>
          <a:solidFill>
            <a:schemeClr val="tx1"/>
          </a:solidFill>
        </a:ln>
      </c:spPr>
    </c:plotArea>
    <c:legend>
      <c:legendPos val="r"/>
      <c:legendEntry>
        <c:idx val="1"/>
        <c:delete val="1"/>
      </c:legendEntry>
      <c:legendEntry>
        <c:idx val="2"/>
        <c:delete val="1"/>
      </c:legendEntry>
      <c:legendEntry>
        <c:idx val="3"/>
        <c:delete val="1"/>
      </c:legendEntry>
      <c:legendEntry>
        <c:idx val="5"/>
        <c:delete val="1"/>
      </c:legendEntry>
      <c:layout>
        <c:manualLayout>
          <c:xMode val="edge"/>
          <c:yMode val="edge"/>
          <c:x val="2.6666666666666668E-2"/>
          <c:y val="0.93333333333333335"/>
          <c:w val="0.95897435897435901"/>
          <c:h val="6.2556026650514837E-2"/>
        </c:manualLayout>
      </c:layout>
      <c:overlay val="0"/>
      <c:spPr>
        <a:ln>
          <a:solidFill>
            <a:sysClr val="windowText" lastClr="000000"/>
          </a:solidFill>
        </a:ln>
      </c:spPr>
      <c:txPr>
        <a:bodyPr/>
        <a:lstStyle/>
        <a:p>
          <a:pPr>
            <a:defRPr sz="1200" b="0" i="0" u="none" strike="noStrike" baseline="0">
              <a:solidFill>
                <a:srgbClr val="000000"/>
              </a:solidFill>
              <a:latin typeface="Trebuchet MS"/>
              <a:ea typeface="Trebuchet MS"/>
              <a:cs typeface="Trebuchet MS"/>
            </a:defRPr>
          </a:pPr>
          <a:endParaRPr lang="en-US"/>
        </a:p>
      </c:txPr>
    </c:legend>
    <c:plotVisOnly val="0"/>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0.21232</cdr:x>
      <cdr:y>0.83937</cdr:y>
    </cdr:from>
    <cdr:to>
      <cdr:x>0.81682</cdr:x>
      <cdr:y>0.92215</cdr:y>
    </cdr:to>
    <cdr:sp macro="" textlink="">
      <cdr:nvSpPr>
        <cdr:cNvPr id="2" name="Right Arrow 1"/>
        <cdr:cNvSpPr/>
      </cdr:nvSpPr>
      <cdr:spPr>
        <a:xfrm xmlns:a="http://schemas.openxmlformats.org/drawingml/2006/main">
          <a:off x="1943476" y="4621110"/>
          <a:ext cx="5533306" cy="455715"/>
        </a:xfrm>
        <a:prstGeom xmlns:a="http://schemas.openxmlformats.org/drawingml/2006/main" prst="rightArrow">
          <a:avLst/>
        </a:prstGeom>
        <a:noFill xmlns:a="http://schemas.openxmlformats.org/drawingml/2006/main"/>
        <a:ln xmlns:a="http://schemas.openxmlformats.org/drawingml/2006/main" w="25400" cap="flat" cmpd="sng" algn="ctr">
          <a:solidFill>
            <a:schemeClr val="accent2"/>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0.08547</cdr:x>
      <cdr:y>0.09344</cdr:y>
    </cdr:from>
    <cdr:to>
      <cdr:x>0.25265</cdr:x>
      <cdr:y>0.19738</cdr:y>
    </cdr:to>
    <cdr:sp macro="" textlink="">
      <cdr:nvSpPr>
        <cdr:cNvPr id="7" name="TextBox 1"/>
        <cdr:cNvSpPr txBox="1"/>
      </cdr:nvSpPr>
      <cdr:spPr>
        <a:xfrm xmlns:a="http://schemas.openxmlformats.org/drawingml/2006/main">
          <a:off x="793750" y="565150"/>
          <a:ext cx="1552575" cy="628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600">
              <a:solidFill>
                <a:schemeClr val="accent2">
                  <a:lumMod val="75000"/>
                </a:schemeClr>
              </a:solidFill>
            </a:rPr>
            <a:t>LOW RISK</a:t>
          </a:r>
        </a:p>
        <a:p xmlns:a="http://schemas.openxmlformats.org/drawingml/2006/main">
          <a:pPr algn="ctr"/>
          <a:r>
            <a:rPr lang="en-GB" sz="1600">
              <a:solidFill>
                <a:schemeClr val="accent2">
                  <a:lumMod val="75000"/>
                </a:schemeClr>
              </a:solidFill>
            </a:rPr>
            <a:t>HIGH</a:t>
          </a:r>
          <a:r>
            <a:rPr lang="en-GB" sz="1600" baseline="0">
              <a:solidFill>
                <a:schemeClr val="accent2">
                  <a:lumMod val="75000"/>
                </a:schemeClr>
              </a:solidFill>
            </a:rPr>
            <a:t> RETURN</a:t>
          </a:r>
          <a:endParaRPr lang="en-GB" sz="1600">
            <a:solidFill>
              <a:schemeClr val="accent2">
                <a:lumMod val="75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0.22761</cdr:x>
      <cdr:y>0.86299</cdr:y>
    </cdr:from>
    <cdr:to>
      <cdr:x>0.82729</cdr:x>
      <cdr:y>0.94308</cdr:y>
    </cdr:to>
    <cdr:sp macro="" textlink="">
      <cdr:nvSpPr>
        <cdr:cNvPr id="2" name="Right Arrow 1"/>
        <cdr:cNvSpPr/>
      </cdr:nvSpPr>
      <cdr:spPr>
        <a:xfrm xmlns:a="http://schemas.openxmlformats.org/drawingml/2006/main">
          <a:off x="1997871" y="5342987"/>
          <a:ext cx="5263754" cy="495838"/>
        </a:xfrm>
        <a:prstGeom xmlns:a="http://schemas.openxmlformats.org/drawingml/2006/main" prst="rightArrow">
          <a:avLst/>
        </a:prstGeom>
        <a:noFill xmlns:a="http://schemas.openxmlformats.org/drawingml/2006/main"/>
        <a:ln xmlns:a="http://schemas.openxmlformats.org/drawingml/2006/main" w="25400" cap="flat" cmpd="sng" algn="ctr">
          <a:solidFill>
            <a:schemeClr val="accent2"/>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0.08444</cdr:x>
      <cdr:y>0.08871</cdr:y>
    </cdr:from>
    <cdr:to>
      <cdr:x>0.25162</cdr:x>
      <cdr:y>0.19265</cdr:y>
    </cdr:to>
    <cdr:sp macro="" textlink="">
      <cdr:nvSpPr>
        <cdr:cNvPr id="5" name="TextBox 1"/>
        <cdr:cNvSpPr txBox="1"/>
      </cdr:nvSpPr>
      <cdr:spPr>
        <a:xfrm xmlns:a="http://schemas.openxmlformats.org/drawingml/2006/main">
          <a:off x="784225" y="536575"/>
          <a:ext cx="1552575" cy="628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600">
              <a:solidFill>
                <a:schemeClr val="accent2">
                  <a:lumMod val="75000"/>
                </a:schemeClr>
              </a:solidFill>
            </a:rPr>
            <a:t>LOW RISK</a:t>
          </a:r>
        </a:p>
        <a:p xmlns:a="http://schemas.openxmlformats.org/drawingml/2006/main">
          <a:pPr algn="ctr"/>
          <a:r>
            <a:rPr lang="en-GB" sz="1600">
              <a:solidFill>
                <a:schemeClr val="accent2">
                  <a:lumMod val="75000"/>
                </a:schemeClr>
              </a:solidFill>
            </a:rPr>
            <a:t>HIGH</a:t>
          </a:r>
          <a:r>
            <a:rPr lang="en-GB" sz="1600" baseline="0">
              <a:solidFill>
                <a:schemeClr val="accent2">
                  <a:lumMod val="75000"/>
                </a:schemeClr>
              </a:solidFill>
            </a:rPr>
            <a:t> RETURN</a:t>
          </a:r>
          <a:endParaRPr lang="en-GB" sz="1600">
            <a:solidFill>
              <a:schemeClr val="accent2">
                <a:lumMod val="7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5C55-8CC5-4130-AD13-31FBD04D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5</TotalTime>
  <Pages>18</Pages>
  <Words>2703</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3</cp:revision>
  <cp:lastPrinted>2015-06-12T11:19:00Z</cp:lastPrinted>
  <dcterms:created xsi:type="dcterms:W3CDTF">2015-06-17T14:42:00Z</dcterms:created>
  <dcterms:modified xsi:type="dcterms:W3CDTF">2015-06-22T08:31:00Z</dcterms:modified>
</cp:coreProperties>
</file>